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1C" w:rsidRPr="0059601C" w:rsidRDefault="00E15800" w:rsidP="006B2C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Check-list pour l’évaluation des patients présentant un état post-CoviD en soins primaire. </w:t>
      </w:r>
    </w:p>
    <w:p w:rsidR="0059601C" w:rsidRPr="006B2C7E" w:rsidRDefault="00E15800" w:rsidP="00250E70">
      <w:pPr>
        <w:pStyle w:val="Titre1"/>
        <w:jc w:val="both"/>
        <w:rPr>
          <w:color w:val="00B0F0"/>
        </w:rPr>
      </w:pPr>
      <w:r w:rsidRPr="006B2C7E">
        <w:rPr>
          <w:color w:val="00B0F0"/>
        </w:rPr>
        <w:t>Définition</w:t>
      </w:r>
    </w:p>
    <w:p w:rsidR="00E15800" w:rsidRDefault="00762D36" w:rsidP="00782BE9">
      <w:pPr>
        <w:jc w:val="both"/>
      </w:pPr>
      <w:r>
        <w:t>Un état post-CoviD est défini par l’OMS comme l</w:t>
      </w:r>
      <w:r w:rsidR="00782BE9">
        <w:t>a survenue</w:t>
      </w:r>
      <w:r w:rsidR="00E15800">
        <w:t> :</w:t>
      </w:r>
    </w:p>
    <w:p w:rsidR="00E15800" w:rsidRDefault="00782BE9" w:rsidP="00E15800">
      <w:pPr>
        <w:pStyle w:val="Paragraphedeliste"/>
        <w:numPr>
          <w:ilvl w:val="0"/>
          <w:numId w:val="2"/>
        </w:numPr>
        <w:jc w:val="both"/>
      </w:pPr>
      <w:r>
        <w:t xml:space="preserve">chez un individu avec un </w:t>
      </w:r>
      <w:r w:rsidRPr="00E15800">
        <w:rPr>
          <w:b/>
        </w:rPr>
        <w:t>antécédent</w:t>
      </w:r>
      <w:r>
        <w:t xml:space="preserve"> personnel probable ou confirmé </w:t>
      </w:r>
      <w:r w:rsidRPr="00E15800">
        <w:rPr>
          <w:b/>
        </w:rPr>
        <w:t>d’infection à SARS-Cov2</w:t>
      </w:r>
      <w:r>
        <w:t xml:space="preserve">, </w:t>
      </w:r>
    </w:p>
    <w:p w:rsidR="00E15800" w:rsidRDefault="00E15800" w:rsidP="00E15800">
      <w:pPr>
        <w:pStyle w:val="Paragraphedeliste"/>
        <w:numPr>
          <w:ilvl w:val="0"/>
          <w:numId w:val="2"/>
        </w:numPr>
        <w:jc w:val="both"/>
      </w:pPr>
      <w:r>
        <w:t xml:space="preserve">de </w:t>
      </w:r>
      <w:r w:rsidRPr="00E15800">
        <w:rPr>
          <w:b/>
        </w:rPr>
        <w:t>symptômes durant au moins 2 mois</w:t>
      </w:r>
      <w:r>
        <w:t xml:space="preserve"> et </w:t>
      </w:r>
      <w:r w:rsidRPr="00E15800">
        <w:rPr>
          <w:b/>
        </w:rPr>
        <w:t>ne pouvant être expliqué par un diagnostic</w:t>
      </w:r>
      <w:r>
        <w:t xml:space="preserve"> alternatif,</w:t>
      </w:r>
    </w:p>
    <w:p w:rsidR="00E15800" w:rsidRDefault="00782BE9" w:rsidP="00E15800">
      <w:pPr>
        <w:pStyle w:val="Paragraphedeliste"/>
        <w:numPr>
          <w:ilvl w:val="0"/>
          <w:numId w:val="2"/>
        </w:numPr>
        <w:jc w:val="both"/>
      </w:pPr>
      <w:r>
        <w:t xml:space="preserve">habituellement </w:t>
      </w:r>
      <w:r w:rsidRPr="00E15800">
        <w:rPr>
          <w:b/>
        </w:rPr>
        <w:t>dans les 3 mois suivant le début du CoviD-19</w:t>
      </w:r>
      <w:r w:rsidR="00E15800">
        <w:t xml:space="preserve">. </w:t>
      </w:r>
    </w:p>
    <w:p w:rsidR="00782BE9" w:rsidRDefault="00782BE9" w:rsidP="00E15800">
      <w:pPr>
        <w:jc w:val="both"/>
      </w:pPr>
      <w:r>
        <w:t xml:space="preserve">Les symptômes </w:t>
      </w:r>
      <w:r w:rsidR="00A946A4">
        <w:t xml:space="preserve">les plus </w:t>
      </w:r>
      <w:r w:rsidR="00E15800">
        <w:t>communs</w:t>
      </w:r>
      <w:r>
        <w:t xml:space="preserve"> sont l’essoufflement, la fatigue, ou l’altération cognitive. Ils ont</w:t>
      </w:r>
      <w:r w:rsidR="00762D36">
        <w:t xml:space="preserve"> généralement</w:t>
      </w:r>
      <w:r>
        <w:t xml:space="preserve"> un impact sur le fonctionnement </w:t>
      </w:r>
      <w:r w:rsidR="00762D36">
        <w:t xml:space="preserve">quotidien. Ces symptômes peuvent persister depuis la maladie aigue initiale ou être apparus secondairement après récupération. Ils peuvent fluctuer ou rechuter au cours du temps. </w:t>
      </w:r>
    </w:p>
    <w:p w:rsidR="0059601C" w:rsidRDefault="0059601C" w:rsidP="00250E70">
      <w:pPr>
        <w:pStyle w:val="Titre1"/>
        <w:jc w:val="both"/>
        <w:rPr>
          <w:color w:val="00B0F0"/>
        </w:rPr>
      </w:pPr>
      <w:r w:rsidRPr="006B2C7E">
        <w:rPr>
          <w:color w:val="00B0F0"/>
        </w:rPr>
        <w:t>Bilan clinique initial</w:t>
      </w:r>
    </w:p>
    <w:p w:rsidR="006D029D" w:rsidRPr="006D029D" w:rsidRDefault="006D029D" w:rsidP="006D029D"/>
    <w:tbl>
      <w:tblPr>
        <w:tblStyle w:val="Grilledutableau"/>
        <w:tblW w:w="9463" w:type="dxa"/>
        <w:jc w:val="center"/>
        <w:tblLook w:val="04A0" w:firstRow="1" w:lastRow="0" w:firstColumn="1" w:lastColumn="0" w:noHBand="0" w:noVBand="1"/>
      </w:tblPr>
      <w:tblGrid>
        <w:gridCol w:w="502"/>
        <w:gridCol w:w="3859"/>
        <w:gridCol w:w="2551"/>
        <w:gridCol w:w="2551"/>
      </w:tblGrid>
      <w:tr w:rsidR="003F15C5" w:rsidTr="00A946A4">
        <w:trPr>
          <w:cantSplit/>
          <w:trHeight w:val="359"/>
          <w:jc w:val="center"/>
        </w:trPr>
        <w:tc>
          <w:tcPr>
            <w:tcW w:w="502" w:type="dxa"/>
            <w:vAlign w:val="center"/>
          </w:tcPr>
          <w:p w:rsidR="003F15C5" w:rsidRDefault="003F15C5" w:rsidP="00A946A4">
            <w:pPr>
              <w:rPr>
                <w:b/>
                <w:u w:val="single"/>
              </w:rPr>
            </w:pPr>
          </w:p>
        </w:tc>
        <w:tc>
          <w:tcPr>
            <w:tcW w:w="3859" w:type="dxa"/>
            <w:vAlign w:val="center"/>
          </w:tcPr>
          <w:p w:rsidR="003F15C5" w:rsidRDefault="003F15C5" w:rsidP="00A946A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Examen</w:t>
            </w:r>
          </w:p>
        </w:tc>
        <w:tc>
          <w:tcPr>
            <w:tcW w:w="2551" w:type="dxa"/>
            <w:vAlign w:val="center"/>
          </w:tcPr>
          <w:p w:rsidR="003F15C5" w:rsidRDefault="003F15C5" w:rsidP="00A946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Outil</w:t>
            </w:r>
          </w:p>
        </w:tc>
        <w:tc>
          <w:tcPr>
            <w:tcW w:w="2551" w:type="dxa"/>
            <w:vAlign w:val="center"/>
          </w:tcPr>
          <w:p w:rsidR="003F15C5" w:rsidRDefault="00A946A4" w:rsidP="00A946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Conduite à tenir</w:t>
            </w:r>
          </w:p>
        </w:tc>
      </w:tr>
      <w:tr w:rsidR="00A946A4" w:rsidTr="00A946A4">
        <w:trPr>
          <w:cantSplit/>
          <w:trHeight w:val="705"/>
          <w:jc w:val="center"/>
        </w:trPr>
        <w:tc>
          <w:tcPr>
            <w:tcW w:w="502" w:type="dxa"/>
            <w:vMerge w:val="restart"/>
            <w:textDirection w:val="btLr"/>
            <w:vAlign w:val="center"/>
          </w:tcPr>
          <w:p w:rsidR="00A946A4" w:rsidRPr="00A946A4" w:rsidRDefault="00A946A4" w:rsidP="00A946A4">
            <w:pPr>
              <w:ind w:left="113" w:right="113"/>
              <w:jc w:val="center"/>
              <w:rPr>
                <w:b/>
              </w:rPr>
            </w:pPr>
            <w:r w:rsidRPr="00A946A4">
              <w:rPr>
                <w:b/>
              </w:rPr>
              <w:t>Examen général</w:t>
            </w:r>
          </w:p>
        </w:tc>
        <w:tc>
          <w:tcPr>
            <w:tcW w:w="3859" w:type="dxa"/>
            <w:vAlign w:val="center"/>
          </w:tcPr>
          <w:p w:rsidR="00A946A4" w:rsidRPr="00A946A4" w:rsidRDefault="00A946A4" w:rsidP="00A946A4">
            <w:pPr>
              <w:jc w:val="both"/>
              <w:rPr>
                <w:u w:val="single"/>
              </w:rPr>
            </w:pPr>
            <w:r w:rsidRPr="00F85071">
              <w:rPr>
                <w:b/>
              </w:rPr>
              <w:t>Ecoute</w:t>
            </w:r>
            <w:r w:rsidRPr="00A946A4">
              <w:t xml:space="preserve"> active et empathique ; répondre aux questions et nommer l’état post-CoviD s’il répond à la définition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u w:val="single"/>
              </w:rPr>
            </w:pPr>
          </w:p>
        </w:tc>
      </w:tr>
      <w:tr w:rsidR="00A946A4" w:rsidTr="00A946A4">
        <w:trPr>
          <w:cantSplit/>
          <w:trHeight w:val="461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Pr="00110C66" w:rsidRDefault="00A946A4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A946A4" w:rsidRPr="000E6FA4" w:rsidRDefault="00A946A4" w:rsidP="00A946A4">
            <w:pPr>
              <w:jc w:val="both"/>
            </w:pPr>
            <w:r>
              <w:t xml:space="preserve">Mesure de la </w:t>
            </w:r>
            <w:r w:rsidRPr="00F85071">
              <w:rPr>
                <w:b/>
              </w:rPr>
              <w:t>tension artérielle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u w:val="single"/>
              </w:rPr>
            </w:pPr>
          </w:p>
        </w:tc>
      </w:tr>
      <w:tr w:rsidR="00A946A4" w:rsidTr="00A946A4">
        <w:trPr>
          <w:cantSplit/>
          <w:trHeight w:val="461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Pr="00110C66" w:rsidRDefault="00A946A4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A946A4" w:rsidRPr="00707174" w:rsidRDefault="00A946A4" w:rsidP="00A946A4">
            <w:pPr>
              <w:jc w:val="both"/>
            </w:pPr>
            <w:r w:rsidRPr="00F85071">
              <w:rPr>
                <w:b/>
              </w:rPr>
              <w:t>Poids</w:t>
            </w:r>
            <w:r w:rsidRPr="00707174">
              <w:t xml:space="preserve"> (évolution depuis l’</w:t>
            </w:r>
            <w:r>
              <w:t>infection) :</w:t>
            </w:r>
          </w:p>
        </w:tc>
        <w:tc>
          <w:tcPr>
            <w:tcW w:w="2551" w:type="dxa"/>
            <w:vAlign w:val="center"/>
          </w:tcPr>
          <w:p w:rsidR="00A946A4" w:rsidRDefault="00D50ACA" w:rsidP="00D50ACA">
            <w:pPr>
              <w:rPr>
                <w:b/>
                <w:u w:val="single"/>
              </w:rPr>
            </w:pPr>
            <w:r w:rsidRPr="00F85071">
              <w:rPr>
                <w:b/>
                <w:color w:val="00B0F0"/>
              </w:rPr>
              <w:t>Fiche EPSILON</w:t>
            </w:r>
            <w:r>
              <w:rPr>
                <w:b/>
                <w:color w:val="00B0F0"/>
              </w:rPr>
              <w:t xml:space="preserve"> « grignotages »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r>
              <w:t xml:space="preserve">Perte </w:t>
            </w:r>
            <w:r>
              <w:sym w:font="Wingdings" w:char="F0E8"/>
            </w:r>
            <w:r>
              <w:t xml:space="preserve"> bilan</w:t>
            </w:r>
          </w:p>
          <w:p w:rsidR="00A946A4" w:rsidRDefault="00A946A4" w:rsidP="00A946A4">
            <w:pPr>
              <w:rPr>
                <w:b/>
                <w:u w:val="single"/>
              </w:rPr>
            </w:pPr>
            <w:r>
              <w:t xml:space="preserve">Prise </w:t>
            </w:r>
            <w:r>
              <w:sym w:font="Wingdings" w:char="F0E8"/>
            </w:r>
            <w:r>
              <w:t xml:space="preserve"> optimisation </w:t>
            </w:r>
          </w:p>
        </w:tc>
      </w:tr>
      <w:tr w:rsidR="00A946A4" w:rsidTr="00A946A4">
        <w:trPr>
          <w:cantSplit/>
          <w:trHeight w:val="1134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Default="00A946A4" w:rsidP="00A946A4">
            <w:pPr>
              <w:ind w:left="113" w:right="113"/>
              <w:rPr>
                <w:b/>
                <w:u w:val="single"/>
              </w:rPr>
            </w:pPr>
          </w:p>
        </w:tc>
        <w:tc>
          <w:tcPr>
            <w:tcW w:w="3859" w:type="dxa"/>
            <w:vAlign w:val="center"/>
          </w:tcPr>
          <w:p w:rsidR="00A946A4" w:rsidRDefault="00A946A4" w:rsidP="00A946A4">
            <w:pPr>
              <w:pStyle w:val="Paragraphedeliste"/>
              <w:ind w:left="32"/>
              <w:jc w:val="both"/>
            </w:pPr>
            <w:r w:rsidRPr="00F85071">
              <w:rPr>
                <w:b/>
              </w:rPr>
              <w:t>Interrogatoire</w:t>
            </w:r>
            <w:r w:rsidRPr="000E6FA4">
              <w:t xml:space="preserve"> « policier », symptôme par symptô</w:t>
            </w:r>
            <w:r>
              <w:t>me :</w:t>
            </w:r>
          </w:p>
          <w:p w:rsidR="00A946A4" w:rsidRPr="000E6FA4" w:rsidRDefault="00A946A4" w:rsidP="00A946A4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0E6FA4">
              <w:t>Date de survenue</w:t>
            </w:r>
          </w:p>
          <w:p w:rsidR="00A946A4" w:rsidRPr="000E6FA4" w:rsidRDefault="00A946A4" w:rsidP="00A946A4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0E6FA4">
              <w:t>Horaires de survenue</w:t>
            </w:r>
          </w:p>
          <w:p w:rsidR="00A946A4" w:rsidRPr="000E6FA4" w:rsidRDefault="00A946A4" w:rsidP="00A946A4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0E6FA4">
              <w:t>Facteurs déclenchant, facteurs aggravants, facteurs améliorants</w:t>
            </w:r>
          </w:p>
          <w:p w:rsidR="00A946A4" w:rsidRPr="000E6FA4" w:rsidRDefault="00A946A4" w:rsidP="00A946A4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0E6FA4">
              <w:t>Evolution au cours du temps</w:t>
            </w:r>
          </w:p>
          <w:p w:rsidR="00A946A4" w:rsidRPr="000E6FA4" w:rsidRDefault="00A946A4" w:rsidP="00A946A4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0E6FA4">
              <w:t>Intensité</w:t>
            </w:r>
          </w:p>
          <w:p w:rsidR="00A946A4" w:rsidRPr="00707174" w:rsidRDefault="00A946A4" w:rsidP="00A946A4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0E6FA4">
              <w:t>Retentissement</w:t>
            </w:r>
          </w:p>
          <w:p w:rsidR="00A946A4" w:rsidRDefault="00A946A4" w:rsidP="00A946A4">
            <w:pPr>
              <w:pStyle w:val="Paragraphedeliste"/>
              <w:numPr>
                <w:ilvl w:val="0"/>
                <w:numId w:val="3"/>
              </w:numPr>
              <w:jc w:val="both"/>
              <w:rPr>
                <w:b/>
                <w:u w:val="single"/>
              </w:rPr>
            </w:pPr>
            <w:r w:rsidRPr="000E6FA4">
              <w:t>Symptômes associés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u w:val="single"/>
              </w:rPr>
            </w:pPr>
            <w:bookmarkStart w:id="0" w:name="_GoBack"/>
            <w:bookmarkEnd w:id="0"/>
          </w:p>
        </w:tc>
      </w:tr>
      <w:tr w:rsidR="00F85071" w:rsidTr="00A946A4">
        <w:trPr>
          <w:cantSplit/>
          <w:trHeight w:val="506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F85071" w:rsidRDefault="00F85071" w:rsidP="00A946A4">
            <w:pPr>
              <w:ind w:left="113" w:right="113"/>
              <w:rPr>
                <w:b/>
                <w:u w:val="single"/>
              </w:rPr>
            </w:pPr>
          </w:p>
        </w:tc>
        <w:tc>
          <w:tcPr>
            <w:tcW w:w="3859" w:type="dxa"/>
            <w:vAlign w:val="center"/>
          </w:tcPr>
          <w:p w:rsidR="00F85071" w:rsidRDefault="00F85071" w:rsidP="00A946A4">
            <w:pPr>
              <w:jc w:val="both"/>
            </w:pPr>
            <w:r>
              <w:t xml:space="preserve">Bilan de </w:t>
            </w:r>
            <w:r w:rsidRPr="00F85071">
              <w:rPr>
                <w:b/>
              </w:rPr>
              <w:t>l’infection à SARS-Cov2</w:t>
            </w:r>
            <w:r>
              <w:t> : gravité, traitement reçus, symptômes</w:t>
            </w:r>
          </w:p>
        </w:tc>
        <w:tc>
          <w:tcPr>
            <w:tcW w:w="2551" w:type="dxa"/>
            <w:vAlign w:val="center"/>
          </w:tcPr>
          <w:p w:rsidR="00F85071" w:rsidRDefault="00F85071" w:rsidP="00A946A4">
            <w:pPr>
              <w:rPr>
                <w:b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F85071" w:rsidRDefault="00F85071" w:rsidP="00A946A4">
            <w:pPr>
              <w:rPr>
                <w:b/>
                <w:u w:val="single"/>
              </w:rPr>
            </w:pPr>
          </w:p>
        </w:tc>
      </w:tr>
      <w:tr w:rsidR="00A946A4" w:rsidTr="00A946A4">
        <w:trPr>
          <w:cantSplit/>
          <w:trHeight w:val="506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Default="00A946A4" w:rsidP="00A946A4">
            <w:pPr>
              <w:ind w:left="113" w:right="113"/>
              <w:rPr>
                <w:b/>
                <w:u w:val="single"/>
              </w:rPr>
            </w:pPr>
          </w:p>
        </w:tc>
        <w:tc>
          <w:tcPr>
            <w:tcW w:w="3859" w:type="dxa"/>
            <w:vAlign w:val="center"/>
          </w:tcPr>
          <w:p w:rsidR="00A946A4" w:rsidRPr="00707174" w:rsidRDefault="00A946A4" w:rsidP="00A946A4">
            <w:pPr>
              <w:jc w:val="both"/>
            </w:pPr>
            <w:r w:rsidRPr="00F85071">
              <w:rPr>
                <w:b/>
              </w:rPr>
              <w:t>Examen</w:t>
            </w:r>
            <w:r>
              <w:t xml:space="preserve"> clinique général.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u w:val="single"/>
              </w:rPr>
            </w:pPr>
          </w:p>
        </w:tc>
      </w:tr>
      <w:tr w:rsidR="00A946A4" w:rsidTr="00E27501">
        <w:trPr>
          <w:cantSplit/>
          <w:trHeight w:val="274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Pr="00707174" w:rsidRDefault="00A946A4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A946A4" w:rsidRPr="00707174" w:rsidRDefault="00A946A4" w:rsidP="00A946A4">
            <w:pPr>
              <w:jc w:val="both"/>
            </w:pPr>
            <w:r w:rsidRPr="00707174">
              <w:t xml:space="preserve">Retentissement sur la </w:t>
            </w:r>
            <w:r w:rsidRPr="00F85071">
              <w:rPr>
                <w:b/>
              </w:rPr>
              <w:t>qualité de vie</w:t>
            </w:r>
          </w:p>
        </w:tc>
        <w:tc>
          <w:tcPr>
            <w:tcW w:w="2551" w:type="dxa"/>
            <w:vAlign w:val="center"/>
          </w:tcPr>
          <w:p w:rsidR="00A946A4" w:rsidRPr="003F7FB4" w:rsidRDefault="00A946A4" w:rsidP="00A946A4">
            <w:pPr>
              <w:rPr>
                <w:b/>
                <w:color w:val="ED7D31" w:themeColor="accent2"/>
              </w:rPr>
            </w:pPr>
            <w:r w:rsidRPr="003F7FB4">
              <w:rPr>
                <w:b/>
                <w:color w:val="ED7D31" w:themeColor="accent2"/>
              </w:rPr>
              <w:t>Echelle EQ5D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r>
              <w:t>A renouveler (monitorage)</w:t>
            </w:r>
          </w:p>
        </w:tc>
      </w:tr>
      <w:tr w:rsidR="00A946A4" w:rsidTr="00E27501">
        <w:trPr>
          <w:cantSplit/>
          <w:trHeight w:val="567"/>
          <w:jc w:val="center"/>
        </w:trPr>
        <w:tc>
          <w:tcPr>
            <w:tcW w:w="502" w:type="dxa"/>
            <w:vMerge w:val="restart"/>
            <w:textDirection w:val="btLr"/>
            <w:vAlign w:val="center"/>
          </w:tcPr>
          <w:p w:rsidR="00A946A4" w:rsidRPr="00A946A4" w:rsidRDefault="00A946A4" w:rsidP="00E27501">
            <w:pPr>
              <w:ind w:left="113" w:right="113"/>
              <w:jc w:val="center"/>
              <w:rPr>
                <w:b/>
              </w:rPr>
            </w:pPr>
            <w:r w:rsidRPr="00A946A4">
              <w:rPr>
                <w:b/>
              </w:rPr>
              <w:t>Fatigue</w:t>
            </w:r>
          </w:p>
        </w:tc>
        <w:tc>
          <w:tcPr>
            <w:tcW w:w="3859" w:type="dxa"/>
            <w:vAlign w:val="center"/>
          </w:tcPr>
          <w:p w:rsidR="00A946A4" w:rsidRPr="00707174" w:rsidRDefault="00A946A4" w:rsidP="00A946A4">
            <w:pPr>
              <w:jc w:val="both"/>
            </w:pPr>
            <w:r w:rsidRPr="00707174">
              <w:t xml:space="preserve">Palpation des </w:t>
            </w:r>
            <w:r w:rsidRPr="00F85071">
              <w:rPr>
                <w:b/>
              </w:rPr>
              <w:t>aires ganglionnaires</w:t>
            </w:r>
            <w:r w:rsidRPr="00707174">
              <w:t>, hépatosplénomégalie</w:t>
            </w:r>
            <w:r>
              <w:t xml:space="preserve"> </w:t>
            </w:r>
          </w:p>
        </w:tc>
        <w:tc>
          <w:tcPr>
            <w:tcW w:w="2551" w:type="dxa"/>
            <w:vAlign w:val="center"/>
          </w:tcPr>
          <w:p w:rsidR="00A946A4" w:rsidRPr="00707174" w:rsidRDefault="00A946A4" w:rsidP="00A946A4"/>
        </w:tc>
        <w:tc>
          <w:tcPr>
            <w:tcW w:w="2551" w:type="dxa"/>
            <w:vAlign w:val="center"/>
          </w:tcPr>
          <w:p w:rsidR="00A946A4" w:rsidRDefault="00A946A4" w:rsidP="00A946A4">
            <w:r>
              <w:sym w:font="Wingdings" w:char="F0E8"/>
            </w:r>
            <w:r>
              <w:t xml:space="preserve"> Bilan si présents</w:t>
            </w:r>
          </w:p>
        </w:tc>
      </w:tr>
      <w:tr w:rsidR="00A946A4" w:rsidTr="00A946A4">
        <w:trPr>
          <w:cantSplit/>
          <w:trHeight w:val="708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Pr="00707174" w:rsidRDefault="00A946A4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A946A4" w:rsidRPr="00707174" w:rsidRDefault="00A946A4" w:rsidP="00A946A4">
            <w:pPr>
              <w:jc w:val="both"/>
            </w:pPr>
            <w:r w:rsidRPr="00F85071">
              <w:rPr>
                <w:b/>
              </w:rPr>
              <w:t xml:space="preserve">Intensité </w:t>
            </w:r>
            <w:r w:rsidRPr="00707174">
              <w:t>de la fatigue</w:t>
            </w:r>
          </w:p>
        </w:tc>
        <w:tc>
          <w:tcPr>
            <w:tcW w:w="2551" w:type="dxa"/>
            <w:vAlign w:val="center"/>
          </w:tcPr>
          <w:p w:rsidR="00A946A4" w:rsidRPr="003F7FB4" w:rsidRDefault="00A946A4" w:rsidP="00A946A4">
            <w:pPr>
              <w:rPr>
                <w:b/>
                <w:color w:val="ED7D31" w:themeColor="accent2"/>
              </w:rPr>
            </w:pPr>
            <w:r w:rsidRPr="003F7FB4">
              <w:rPr>
                <w:b/>
                <w:color w:val="ED7D31" w:themeColor="accent2"/>
              </w:rPr>
              <w:t xml:space="preserve">Echelle de Chalder </w:t>
            </w:r>
          </w:p>
          <w:p w:rsidR="00A946A4" w:rsidRPr="00F85071" w:rsidRDefault="00A946A4" w:rsidP="00A946A4">
            <w:pPr>
              <w:rPr>
                <w:b/>
                <w:color w:val="00B0F0"/>
              </w:rPr>
            </w:pPr>
            <w:r w:rsidRPr="00F85071">
              <w:rPr>
                <w:b/>
                <w:color w:val="00B0F0"/>
              </w:rPr>
              <w:t>Fiche HAS fatigue</w:t>
            </w:r>
          </w:p>
          <w:p w:rsidR="00A946A4" w:rsidRPr="00707174" w:rsidRDefault="00A946A4" w:rsidP="00A946A4">
            <w:r w:rsidRPr="00F85071">
              <w:rPr>
                <w:b/>
                <w:color w:val="00B0F0"/>
              </w:rPr>
              <w:t>Fiche EPSILON fatigue</w:t>
            </w:r>
          </w:p>
        </w:tc>
        <w:tc>
          <w:tcPr>
            <w:tcW w:w="2551" w:type="dxa"/>
            <w:vAlign w:val="center"/>
          </w:tcPr>
          <w:p w:rsidR="00A946A4" w:rsidRPr="00707174" w:rsidRDefault="00A946A4" w:rsidP="00A946A4">
            <w:r>
              <w:t>Chalder : à renouveler (monitorage)</w:t>
            </w:r>
          </w:p>
        </w:tc>
      </w:tr>
      <w:tr w:rsidR="00A946A4" w:rsidTr="00A946A4">
        <w:trPr>
          <w:cantSplit/>
          <w:trHeight w:val="425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Pr="00707174" w:rsidRDefault="00A946A4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A946A4" w:rsidRPr="00707174" w:rsidRDefault="00A946A4" w:rsidP="00A946A4">
            <w:pPr>
              <w:jc w:val="both"/>
            </w:pPr>
            <w:r w:rsidRPr="00707174">
              <w:t xml:space="preserve">Syndrome </w:t>
            </w:r>
            <w:r w:rsidRPr="00F85071">
              <w:rPr>
                <w:b/>
              </w:rPr>
              <w:t>pré-ménopausique</w:t>
            </w:r>
            <w:r w:rsidRPr="00707174">
              <w:t xml:space="preserve"> (femme)</w:t>
            </w:r>
          </w:p>
        </w:tc>
        <w:tc>
          <w:tcPr>
            <w:tcW w:w="2551" w:type="dxa"/>
            <w:vAlign w:val="center"/>
          </w:tcPr>
          <w:p w:rsidR="00A946A4" w:rsidRPr="00707174" w:rsidRDefault="00A946A4" w:rsidP="00A946A4"/>
        </w:tc>
        <w:tc>
          <w:tcPr>
            <w:tcW w:w="2551" w:type="dxa"/>
            <w:vAlign w:val="center"/>
          </w:tcPr>
          <w:p w:rsidR="00A946A4" w:rsidRPr="00707174" w:rsidRDefault="00A946A4" w:rsidP="00A946A4"/>
        </w:tc>
      </w:tr>
      <w:tr w:rsidR="00A946A4" w:rsidTr="00A946A4">
        <w:trPr>
          <w:cantSplit/>
          <w:trHeight w:val="417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Pr="00707174" w:rsidRDefault="00A946A4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A946A4" w:rsidRPr="00707174" w:rsidRDefault="00A946A4" w:rsidP="00A946A4">
            <w:pPr>
              <w:jc w:val="both"/>
            </w:pPr>
            <w:r w:rsidRPr="00707174">
              <w:t xml:space="preserve">Syndrome </w:t>
            </w:r>
            <w:r w:rsidRPr="00F85071">
              <w:rPr>
                <w:b/>
              </w:rPr>
              <w:t>anxio-dépressif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color w:val="ED7D31" w:themeColor="accent2"/>
              </w:rPr>
            </w:pPr>
            <w:r w:rsidRPr="003F7FB4">
              <w:rPr>
                <w:b/>
                <w:color w:val="ED7D31" w:themeColor="accent2"/>
              </w:rPr>
              <w:t>Echelle HAD</w:t>
            </w:r>
          </w:p>
          <w:p w:rsidR="00D50ACA" w:rsidRPr="003F7FB4" w:rsidRDefault="00D50ACA" w:rsidP="00A946A4">
            <w:pPr>
              <w:rPr>
                <w:b/>
                <w:color w:val="ED7D31" w:themeColor="accent2"/>
              </w:rPr>
            </w:pPr>
            <w:r w:rsidRPr="006B2C7E">
              <w:rPr>
                <w:b/>
                <w:color w:val="70AD47" w:themeColor="accent6"/>
              </w:rPr>
              <w:t>Ordonnance type</w:t>
            </w:r>
          </w:p>
        </w:tc>
        <w:tc>
          <w:tcPr>
            <w:tcW w:w="2551" w:type="dxa"/>
            <w:vAlign w:val="center"/>
          </w:tcPr>
          <w:p w:rsidR="00A946A4" w:rsidRPr="00707174" w:rsidRDefault="00D50ACA" w:rsidP="00A946A4">
            <w:r>
              <w:sym w:font="Wingdings" w:char="F0E8"/>
            </w:r>
            <w:r>
              <w:t xml:space="preserve"> Psychologue</w:t>
            </w:r>
          </w:p>
        </w:tc>
      </w:tr>
      <w:tr w:rsidR="00A946A4" w:rsidTr="00A946A4">
        <w:trPr>
          <w:cantSplit/>
          <w:trHeight w:val="1134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Pr="00707174" w:rsidRDefault="00A946A4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A946A4" w:rsidRPr="00707174" w:rsidRDefault="00A946A4" w:rsidP="00A946A4">
            <w:pPr>
              <w:jc w:val="both"/>
            </w:pPr>
            <w:r w:rsidRPr="00707174">
              <w:t xml:space="preserve">Evaluation de la </w:t>
            </w:r>
            <w:r w:rsidRPr="00F85071">
              <w:rPr>
                <w:b/>
              </w:rPr>
              <w:t>sédentarité</w:t>
            </w:r>
            <w:r w:rsidRPr="00707174">
              <w:t> : activité physique habituelle avant CoviD (type, durée, intensité) et actuelle.</w:t>
            </w:r>
          </w:p>
        </w:tc>
        <w:tc>
          <w:tcPr>
            <w:tcW w:w="2551" w:type="dxa"/>
            <w:vAlign w:val="center"/>
          </w:tcPr>
          <w:p w:rsidR="00A946A4" w:rsidRPr="00F85071" w:rsidRDefault="00A946A4" w:rsidP="00A946A4">
            <w:pPr>
              <w:rPr>
                <w:b/>
                <w:color w:val="00B0F0"/>
              </w:rPr>
            </w:pPr>
            <w:r w:rsidRPr="00F85071">
              <w:rPr>
                <w:b/>
                <w:color w:val="00B0F0"/>
              </w:rPr>
              <w:t>Fiche Epsilon activité physique</w:t>
            </w:r>
          </w:p>
          <w:p w:rsidR="00A946A4" w:rsidRDefault="00A946A4" w:rsidP="00A946A4">
            <w:pPr>
              <w:rPr>
                <w:b/>
                <w:color w:val="00B0F0"/>
              </w:rPr>
            </w:pPr>
            <w:r w:rsidRPr="00F85071">
              <w:rPr>
                <w:b/>
                <w:color w:val="00B0F0"/>
              </w:rPr>
              <w:t>Fiche HAS réentrainement à l’effort</w:t>
            </w:r>
          </w:p>
          <w:p w:rsidR="006B2C7E" w:rsidRPr="00707174" w:rsidRDefault="006B2C7E" w:rsidP="00A946A4">
            <w:r w:rsidRPr="006B2C7E">
              <w:rPr>
                <w:b/>
                <w:color w:val="70AD47" w:themeColor="accent6"/>
              </w:rPr>
              <w:t>Ordonnance type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r>
              <w:sym w:font="Wingdings" w:char="F0E8"/>
            </w:r>
            <w:r>
              <w:t xml:space="preserve"> Kinésithérapie</w:t>
            </w:r>
          </w:p>
        </w:tc>
      </w:tr>
      <w:tr w:rsidR="00A946A4" w:rsidTr="00A946A4">
        <w:trPr>
          <w:cantSplit/>
          <w:trHeight w:val="470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A946A4" w:rsidRPr="00707174" w:rsidRDefault="00A946A4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A946A4" w:rsidRPr="00707174" w:rsidRDefault="00A946A4" w:rsidP="00A946A4">
            <w:pPr>
              <w:jc w:val="both"/>
            </w:pPr>
            <w:r w:rsidRPr="00707174">
              <w:t xml:space="preserve">Evaluation de la qualité du </w:t>
            </w:r>
            <w:r w:rsidRPr="00F85071">
              <w:rPr>
                <w:b/>
              </w:rPr>
              <w:t>sommeil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pPr>
              <w:rPr>
                <w:b/>
                <w:color w:val="ED7D31" w:themeColor="accent2"/>
              </w:rPr>
            </w:pPr>
            <w:r w:rsidRPr="003F7FB4">
              <w:rPr>
                <w:b/>
                <w:color w:val="ED7D31" w:themeColor="accent2"/>
              </w:rPr>
              <w:t>Score d’Epworth</w:t>
            </w:r>
          </w:p>
          <w:p w:rsidR="006B2C7E" w:rsidRPr="003F7FB4" w:rsidRDefault="006B2C7E" w:rsidP="00A946A4">
            <w:pPr>
              <w:rPr>
                <w:b/>
                <w:color w:val="ED7D31" w:themeColor="accent2"/>
              </w:rPr>
            </w:pPr>
            <w:r w:rsidRPr="006B2C7E">
              <w:rPr>
                <w:b/>
                <w:color w:val="00B0F0"/>
              </w:rPr>
              <w:t xml:space="preserve">Fiche Epsilon Sommeil </w:t>
            </w:r>
          </w:p>
        </w:tc>
        <w:tc>
          <w:tcPr>
            <w:tcW w:w="2551" w:type="dxa"/>
            <w:vAlign w:val="center"/>
          </w:tcPr>
          <w:p w:rsidR="00A946A4" w:rsidRPr="00707174" w:rsidRDefault="00A946A4" w:rsidP="00A946A4">
            <w:r>
              <w:sym w:font="Wingdings" w:char="F0E8"/>
            </w:r>
            <w:r w:rsidR="006D029D">
              <w:t xml:space="preserve"> Avis si &gt;10</w:t>
            </w:r>
          </w:p>
        </w:tc>
      </w:tr>
      <w:tr w:rsidR="00583655" w:rsidTr="00583655">
        <w:trPr>
          <w:cantSplit/>
          <w:trHeight w:val="510"/>
          <w:jc w:val="center"/>
        </w:trPr>
        <w:tc>
          <w:tcPr>
            <w:tcW w:w="502" w:type="dxa"/>
            <w:vMerge w:val="restart"/>
            <w:textDirection w:val="btLr"/>
            <w:vAlign w:val="center"/>
          </w:tcPr>
          <w:p w:rsidR="00583655" w:rsidRPr="00583655" w:rsidRDefault="00583655" w:rsidP="00583655">
            <w:pPr>
              <w:ind w:left="113" w:right="113"/>
              <w:jc w:val="center"/>
              <w:rPr>
                <w:b/>
              </w:rPr>
            </w:pPr>
            <w:r w:rsidRPr="00583655">
              <w:rPr>
                <w:b/>
              </w:rPr>
              <w:t>Dyspnée</w:t>
            </w:r>
          </w:p>
        </w:tc>
        <w:tc>
          <w:tcPr>
            <w:tcW w:w="3859" w:type="dxa"/>
            <w:vAlign w:val="center"/>
          </w:tcPr>
          <w:p w:rsidR="00583655" w:rsidRPr="00707174" w:rsidRDefault="00583655" w:rsidP="00A946A4">
            <w:pPr>
              <w:jc w:val="both"/>
            </w:pPr>
            <w:r>
              <w:t xml:space="preserve">Mesure de la </w:t>
            </w:r>
            <w:r w:rsidRPr="00F85071">
              <w:rPr>
                <w:b/>
              </w:rPr>
              <w:t>saturation au repos</w:t>
            </w:r>
            <w:r>
              <w:t xml:space="preserve">. </w:t>
            </w:r>
          </w:p>
        </w:tc>
        <w:tc>
          <w:tcPr>
            <w:tcW w:w="2551" w:type="dxa"/>
            <w:vAlign w:val="center"/>
          </w:tcPr>
          <w:p w:rsidR="00583655" w:rsidRPr="00707174" w:rsidRDefault="00583655" w:rsidP="00A946A4"/>
        </w:tc>
        <w:tc>
          <w:tcPr>
            <w:tcW w:w="2551" w:type="dxa"/>
            <w:vAlign w:val="center"/>
          </w:tcPr>
          <w:p w:rsidR="00583655" w:rsidRPr="00707174" w:rsidRDefault="00583655" w:rsidP="00A946A4">
            <w:r>
              <w:sym w:font="Wingdings" w:char="F0E8"/>
            </w:r>
            <w:r>
              <w:t xml:space="preserve"> Avis si &lt;95%</w:t>
            </w:r>
          </w:p>
        </w:tc>
      </w:tr>
      <w:tr w:rsidR="00583655" w:rsidTr="00583655">
        <w:trPr>
          <w:cantSplit/>
          <w:trHeight w:val="510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583655" w:rsidRDefault="00583655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583655" w:rsidRDefault="00583655" w:rsidP="00A946A4">
            <w:pPr>
              <w:jc w:val="both"/>
            </w:pPr>
            <w:r>
              <w:t xml:space="preserve">Mesure de la </w:t>
            </w:r>
            <w:r w:rsidRPr="00F85071">
              <w:rPr>
                <w:b/>
              </w:rPr>
              <w:t>SAT à l’effort</w:t>
            </w:r>
            <w:r>
              <w:t> : test de lever de chaise de 1 minute.</w:t>
            </w:r>
          </w:p>
        </w:tc>
        <w:tc>
          <w:tcPr>
            <w:tcW w:w="2551" w:type="dxa"/>
            <w:vAlign w:val="center"/>
          </w:tcPr>
          <w:p w:rsidR="00583655" w:rsidRPr="00707174" w:rsidRDefault="00583655" w:rsidP="00A946A4"/>
        </w:tc>
        <w:tc>
          <w:tcPr>
            <w:tcW w:w="2551" w:type="dxa"/>
            <w:vAlign w:val="center"/>
          </w:tcPr>
          <w:p w:rsidR="00583655" w:rsidRDefault="00583655" w:rsidP="00A946A4">
            <w:r>
              <w:sym w:font="Wingdings" w:char="F0E8"/>
            </w:r>
            <w:r>
              <w:t xml:space="preserve"> Avis si &lt;95%</w:t>
            </w:r>
          </w:p>
        </w:tc>
      </w:tr>
      <w:tr w:rsidR="00583655" w:rsidTr="00583655">
        <w:trPr>
          <w:cantSplit/>
          <w:trHeight w:val="510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583655" w:rsidRDefault="00583655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583655" w:rsidRPr="00F85071" w:rsidRDefault="00583655" w:rsidP="00A946A4">
            <w:pPr>
              <w:jc w:val="both"/>
              <w:rPr>
                <w:b/>
              </w:rPr>
            </w:pPr>
            <w:r w:rsidRPr="00F85071">
              <w:rPr>
                <w:b/>
              </w:rPr>
              <w:t>Intensité</w:t>
            </w:r>
          </w:p>
        </w:tc>
        <w:tc>
          <w:tcPr>
            <w:tcW w:w="2551" w:type="dxa"/>
            <w:vAlign w:val="center"/>
          </w:tcPr>
          <w:p w:rsidR="00583655" w:rsidRPr="003F7FB4" w:rsidRDefault="00583655" w:rsidP="00A946A4">
            <w:pPr>
              <w:rPr>
                <w:b/>
              </w:rPr>
            </w:pPr>
            <w:r w:rsidRPr="003F7FB4">
              <w:rPr>
                <w:b/>
                <w:color w:val="ED7D31" w:themeColor="accent2"/>
              </w:rPr>
              <w:t xml:space="preserve">Echelle mMRC </w:t>
            </w:r>
          </w:p>
          <w:p w:rsidR="00583655" w:rsidRPr="003F7FB4" w:rsidRDefault="00583655" w:rsidP="00A946A4">
            <w:pPr>
              <w:rPr>
                <w:b/>
              </w:rPr>
            </w:pPr>
            <w:r w:rsidRPr="00F85071">
              <w:rPr>
                <w:b/>
                <w:color w:val="00B0F0"/>
              </w:rPr>
              <w:t>Fiche HAS Dyspnée</w:t>
            </w:r>
          </w:p>
        </w:tc>
        <w:tc>
          <w:tcPr>
            <w:tcW w:w="2551" w:type="dxa"/>
            <w:vAlign w:val="center"/>
          </w:tcPr>
          <w:p w:rsidR="00583655" w:rsidRDefault="00583655" w:rsidP="00A946A4"/>
        </w:tc>
      </w:tr>
      <w:tr w:rsidR="00583655" w:rsidTr="00583655">
        <w:trPr>
          <w:cantSplit/>
          <w:trHeight w:val="510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583655" w:rsidRDefault="00583655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583655" w:rsidRDefault="00583655" w:rsidP="00A946A4">
            <w:pPr>
              <w:jc w:val="both"/>
            </w:pPr>
            <w:r w:rsidRPr="00F85071">
              <w:rPr>
                <w:b/>
              </w:rPr>
              <w:t>Examen pulmonaire, ORL et cardiaque</w:t>
            </w:r>
            <w:r>
              <w:t> ; évoquer des séquelles de CoviD sévère</w:t>
            </w:r>
          </w:p>
        </w:tc>
        <w:tc>
          <w:tcPr>
            <w:tcW w:w="2551" w:type="dxa"/>
            <w:vAlign w:val="center"/>
          </w:tcPr>
          <w:p w:rsidR="00583655" w:rsidRDefault="00583655" w:rsidP="00A946A4"/>
        </w:tc>
        <w:tc>
          <w:tcPr>
            <w:tcW w:w="2551" w:type="dxa"/>
            <w:vAlign w:val="center"/>
          </w:tcPr>
          <w:p w:rsidR="00583655" w:rsidRDefault="00583655" w:rsidP="00A946A4">
            <w:r>
              <w:sym w:font="Wingdings" w:char="F0E8"/>
            </w:r>
            <w:r>
              <w:t xml:space="preserve"> Avis spécialisé si aggravation de la dyspnée et/ou après une forme sévère</w:t>
            </w:r>
          </w:p>
          <w:p w:rsidR="00583655" w:rsidRDefault="00583655" w:rsidP="00A946A4">
            <w:r>
              <w:t>+/-TDM thoracique sans IV</w:t>
            </w:r>
          </w:p>
        </w:tc>
      </w:tr>
      <w:tr w:rsidR="00583655" w:rsidTr="00583655">
        <w:trPr>
          <w:cantSplit/>
          <w:trHeight w:val="510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583655" w:rsidRDefault="00583655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583655" w:rsidRDefault="00583655" w:rsidP="00A946A4">
            <w:pPr>
              <w:jc w:val="both"/>
            </w:pPr>
            <w:r>
              <w:t xml:space="preserve">Syndrome </w:t>
            </w:r>
            <w:r w:rsidRPr="00F85071">
              <w:rPr>
                <w:b/>
              </w:rPr>
              <w:t>d’hyperventilation</w:t>
            </w:r>
          </w:p>
        </w:tc>
        <w:tc>
          <w:tcPr>
            <w:tcW w:w="2551" w:type="dxa"/>
            <w:vAlign w:val="center"/>
          </w:tcPr>
          <w:p w:rsidR="00583655" w:rsidRPr="003F7FB4" w:rsidRDefault="00583655" w:rsidP="00A946A4">
            <w:pPr>
              <w:rPr>
                <w:b/>
                <w:color w:val="ED7D31" w:themeColor="accent2"/>
              </w:rPr>
            </w:pPr>
            <w:r w:rsidRPr="003F7FB4">
              <w:rPr>
                <w:b/>
                <w:color w:val="ED7D31" w:themeColor="accent2"/>
              </w:rPr>
              <w:t xml:space="preserve">Score de Nijmegen </w:t>
            </w:r>
          </w:p>
          <w:p w:rsidR="006B2C7E" w:rsidRPr="006B2C7E" w:rsidRDefault="00583655" w:rsidP="00A946A4">
            <w:pPr>
              <w:rPr>
                <w:b/>
                <w:color w:val="00B0F0"/>
              </w:rPr>
            </w:pPr>
            <w:r w:rsidRPr="00F85071">
              <w:rPr>
                <w:b/>
                <w:color w:val="00B0F0"/>
              </w:rPr>
              <w:t>Fiche HAS Syndrome d’hyperventilation</w:t>
            </w:r>
          </w:p>
        </w:tc>
        <w:tc>
          <w:tcPr>
            <w:tcW w:w="2551" w:type="dxa"/>
            <w:vAlign w:val="center"/>
          </w:tcPr>
          <w:p w:rsidR="00583655" w:rsidRDefault="00583655" w:rsidP="00A946A4">
            <w:r>
              <w:sym w:font="Wingdings" w:char="F0E8"/>
            </w:r>
            <w:r>
              <w:t xml:space="preserve"> Kinésithérapie</w:t>
            </w:r>
          </w:p>
        </w:tc>
      </w:tr>
      <w:tr w:rsidR="003D193E" w:rsidTr="003D193E">
        <w:trPr>
          <w:cantSplit/>
          <w:trHeight w:val="397"/>
          <w:jc w:val="center"/>
        </w:trPr>
        <w:tc>
          <w:tcPr>
            <w:tcW w:w="502" w:type="dxa"/>
            <w:vMerge w:val="restart"/>
            <w:textDirection w:val="btLr"/>
            <w:vAlign w:val="center"/>
          </w:tcPr>
          <w:p w:rsidR="003D193E" w:rsidRPr="003D193E" w:rsidRDefault="003D193E" w:rsidP="003D193E">
            <w:pPr>
              <w:ind w:left="113" w:right="113"/>
              <w:jc w:val="center"/>
              <w:rPr>
                <w:b/>
              </w:rPr>
            </w:pPr>
            <w:r w:rsidRPr="003D193E">
              <w:rPr>
                <w:b/>
              </w:rPr>
              <w:t>Troubles neurologique</w:t>
            </w:r>
          </w:p>
        </w:tc>
        <w:tc>
          <w:tcPr>
            <w:tcW w:w="3859" w:type="dxa"/>
            <w:vAlign w:val="center"/>
          </w:tcPr>
          <w:p w:rsidR="003D193E" w:rsidRDefault="003D193E" w:rsidP="00A946A4">
            <w:pPr>
              <w:jc w:val="both"/>
            </w:pPr>
            <w:r>
              <w:t xml:space="preserve">Rechercher des </w:t>
            </w:r>
            <w:r w:rsidRPr="00F85071">
              <w:rPr>
                <w:b/>
              </w:rPr>
              <w:t>troubles cognitifs</w:t>
            </w:r>
            <w:r>
              <w:t>, mnésique ou de la concentration</w:t>
            </w:r>
          </w:p>
        </w:tc>
        <w:tc>
          <w:tcPr>
            <w:tcW w:w="2551" w:type="dxa"/>
            <w:vAlign w:val="center"/>
          </w:tcPr>
          <w:p w:rsidR="003D193E" w:rsidRPr="003F7FB4" w:rsidRDefault="003D193E" w:rsidP="00A946A4">
            <w:pPr>
              <w:rPr>
                <w:b/>
                <w:color w:val="ED7D31" w:themeColor="accent2"/>
              </w:rPr>
            </w:pPr>
            <w:r w:rsidRPr="003F7FB4">
              <w:rPr>
                <w:b/>
                <w:color w:val="ED7D31" w:themeColor="accent2"/>
              </w:rPr>
              <w:t>Questionnaire MOCA</w:t>
            </w:r>
          </w:p>
        </w:tc>
        <w:tc>
          <w:tcPr>
            <w:tcW w:w="2551" w:type="dxa"/>
            <w:vAlign w:val="center"/>
          </w:tcPr>
          <w:p w:rsidR="003D193E" w:rsidRDefault="003D193E" w:rsidP="00A946A4">
            <w:r>
              <w:sym w:font="Wingdings" w:char="F0E8"/>
            </w:r>
            <w:r>
              <w:t xml:space="preserve"> Avis spécialisé si MOCA pathologique</w:t>
            </w:r>
          </w:p>
          <w:p w:rsidR="003D193E" w:rsidRDefault="003D193E" w:rsidP="00A946A4">
            <w:r>
              <w:t>+/- IRM cérébrale</w:t>
            </w:r>
          </w:p>
        </w:tc>
      </w:tr>
      <w:tr w:rsidR="003D193E" w:rsidTr="003D193E">
        <w:trPr>
          <w:cantSplit/>
          <w:trHeight w:val="397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3D193E" w:rsidRDefault="003D193E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3D193E" w:rsidRPr="00F85071" w:rsidRDefault="003D193E" w:rsidP="00A946A4">
            <w:pPr>
              <w:jc w:val="both"/>
              <w:rPr>
                <w:b/>
              </w:rPr>
            </w:pPr>
            <w:r w:rsidRPr="00F85071">
              <w:rPr>
                <w:b/>
              </w:rPr>
              <w:t>Céphalées</w:t>
            </w:r>
          </w:p>
        </w:tc>
        <w:tc>
          <w:tcPr>
            <w:tcW w:w="2551" w:type="dxa"/>
            <w:vAlign w:val="center"/>
          </w:tcPr>
          <w:p w:rsidR="003D193E" w:rsidRDefault="003D193E" w:rsidP="00A946A4"/>
        </w:tc>
        <w:tc>
          <w:tcPr>
            <w:tcW w:w="2551" w:type="dxa"/>
            <w:vAlign w:val="center"/>
          </w:tcPr>
          <w:p w:rsidR="003D193E" w:rsidRDefault="003D193E" w:rsidP="00A946A4"/>
        </w:tc>
      </w:tr>
      <w:tr w:rsidR="003D193E" w:rsidTr="003D193E">
        <w:trPr>
          <w:cantSplit/>
          <w:trHeight w:val="397"/>
          <w:jc w:val="center"/>
        </w:trPr>
        <w:tc>
          <w:tcPr>
            <w:tcW w:w="502" w:type="dxa"/>
            <w:vMerge/>
            <w:textDirection w:val="btLr"/>
            <w:vAlign w:val="center"/>
          </w:tcPr>
          <w:p w:rsidR="003D193E" w:rsidRDefault="003D193E" w:rsidP="00A946A4">
            <w:pPr>
              <w:ind w:left="113" w:right="113"/>
            </w:pPr>
          </w:p>
        </w:tc>
        <w:tc>
          <w:tcPr>
            <w:tcW w:w="3859" w:type="dxa"/>
            <w:vAlign w:val="center"/>
          </w:tcPr>
          <w:p w:rsidR="003D193E" w:rsidRDefault="003D193E" w:rsidP="00A946A4">
            <w:pPr>
              <w:jc w:val="both"/>
            </w:pPr>
            <w:r w:rsidRPr="00F85071">
              <w:rPr>
                <w:b/>
              </w:rPr>
              <w:t>Examen neurologique</w:t>
            </w:r>
            <w:r>
              <w:t xml:space="preserve"> complet</w:t>
            </w:r>
          </w:p>
        </w:tc>
        <w:tc>
          <w:tcPr>
            <w:tcW w:w="2551" w:type="dxa"/>
            <w:vAlign w:val="center"/>
          </w:tcPr>
          <w:p w:rsidR="003D193E" w:rsidRPr="00F85071" w:rsidRDefault="003D193E" w:rsidP="00A946A4">
            <w:pPr>
              <w:rPr>
                <w:b/>
                <w:color w:val="00B0F0"/>
              </w:rPr>
            </w:pPr>
            <w:r w:rsidRPr="00F85071">
              <w:rPr>
                <w:b/>
                <w:color w:val="00B0F0"/>
              </w:rPr>
              <w:t>Fiche HAS manifestations neurologiques</w:t>
            </w:r>
          </w:p>
          <w:p w:rsidR="003D193E" w:rsidRDefault="003D193E" w:rsidP="003D193E">
            <w:r w:rsidRPr="00F85071">
              <w:rPr>
                <w:b/>
                <w:color w:val="00B0F0"/>
              </w:rPr>
              <w:t>Fiche EPSILON Brouillard cérébral</w:t>
            </w:r>
          </w:p>
        </w:tc>
        <w:tc>
          <w:tcPr>
            <w:tcW w:w="2551" w:type="dxa"/>
            <w:vAlign w:val="center"/>
          </w:tcPr>
          <w:p w:rsidR="003D193E" w:rsidRDefault="003D193E" w:rsidP="00A946A4"/>
        </w:tc>
      </w:tr>
      <w:tr w:rsidR="00A946A4" w:rsidTr="00A946A4">
        <w:trPr>
          <w:cantSplit/>
          <w:trHeight w:val="1134"/>
          <w:jc w:val="center"/>
        </w:trPr>
        <w:tc>
          <w:tcPr>
            <w:tcW w:w="502" w:type="dxa"/>
            <w:textDirection w:val="btLr"/>
            <w:vAlign w:val="center"/>
          </w:tcPr>
          <w:p w:rsidR="00A946A4" w:rsidRPr="003D193E" w:rsidRDefault="003D193E" w:rsidP="00A946A4">
            <w:pPr>
              <w:ind w:left="113" w:right="113"/>
              <w:rPr>
                <w:b/>
                <w:sz w:val="14"/>
              </w:rPr>
            </w:pPr>
            <w:r w:rsidRPr="003D193E">
              <w:rPr>
                <w:b/>
                <w:sz w:val="14"/>
              </w:rPr>
              <w:t>Dysautonomie</w:t>
            </w:r>
          </w:p>
        </w:tc>
        <w:tc>
          <w:tcPr>
            <w:tcW w:w="3859" w:type="dxa"/>
            <w:vAlign w:val="center"/>
          </w:tcPr>
          <w:p w:rsidR="00A946A4" w:rsidRDefault="00A946A4" w:rsidP="00A946A4">
            <w:pPr>
              <w:jc w:val="both"/>
            </w:pPr>
            <w:r>
              <w:t>Recherche d’</w:t>
            </w:r>
            <w:r w:rsidRPr="00F85071">
              <w:rPr>
                <w:b/>
              </w:rPr>
              <w:t>hypotension orthostatique</w:t>
            </w:r>
          </w:p>
        </w:tc>
        <w:tc>
          <w:tcPr>
            <w:tcW w:w="2551" w:type="dxa"/>
            <w:vAlign w:val="center"/>
          </w:tcPr>
          <w:p w:rsidR="00A946A4" w:rsidRPr="003F7FB4" w:rsidRDefault="00A946A4" w:rsidP="00A946A4">
            <w:pPr>
              <w:rPr>
                <w:b/>
              </w:rPr>
            </w:pPr>
            <w:r w:rsidRPr="00F85071">
              <w:rPr>
                <w:b/>
                <w:color w:val="00B0F0"/>
              </w:rPr>
              <w:t>Fiche HAS trouble dysautonomique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r>
              <w:sym w:font="Wingdings" w:char="F0E8"/>
            </w:r>
            <w:r>
              <w:t xml:space="preserve"> Avis spécialisé si hTO et HTA ou hTO résistante au traitement non pharmacologique</w:t>
            </w:r>
          </w:p>
        </w:tc>
      </w:tr>
      <w:tr w:rsidR="00A946A4" w:rsidTr="00A946A4">
        <w:trPr>
          <w:cantSplit/>
          <w:trHeight w:val="1134"/>
          <w:jc w:val="center"/>
        </w:trPr>
        <w:tc>
          <w:tcPr>
            <w:tcW w:w="502" w:type="dxa"/>
            <w:textDirection w:val="btLr"/>
            <w:vAlign w:val="center"/>
          </w:tcPr>
          <w:p w:rsidR="00A946A4" w:rsidRPr="003D193E" w:rsidRDefault="00A946A4" w:rsidP="003D193E">
            <w:pPr>
              <w:ind w:left="113" w:right="113"/>
              <w:jc w:val="center"/>
              <w:rPr>
                <w:b/>
              </w:rPr>
            </w:pPr>
            <w:r w:rsidRPr="003D193E">
              <w:rPr>
                <w:b/>
              </w:rPr>
              <w:lastRenderedPageBreak/>
              <w:t>Trouble du goût et/ou de l’odorat</w:t>
            </w:r>
          </w:p>
        </w:tc>
        <w:tc>
          <w:tcPr>
            <w:tcW w:w="3859" w:type="dxa"/>
            <w:vAlign w:val="center"/>
          </w:tcPr>
          <w:p w:rsidR="00A946A4" w:rsidRDefault="00A946A4" w:rsidP="00A946A4">
            <w:pPr>
              <w:pStyle w:val="Paragraphedeliste"/>
              <w:ind w:left="0"/>
              <w:jc w:val="both"/>
            </w:pPr>
            <w:r w:rsidRPr="00F85071">
              <w:rPr>
                <w:b/>
              </w:rPr>
              <w:t>Auto-évaluation</w:t>
            </w:r>
            <w:r>
              <w:t xml:space="preserve"> sur une échelle numérique (0 à 10) ou EVA. </w:t>
            </w:r>
          </w:p>
          <w:p w:rsidR="00A946A4" w:rsidRDefault="00A946A4" w:rsidP="00A946A4">
            <w:pPr>
              <w:ind w:left="-16"/>
              <w:jc w:val="both"/>
            </w:pPr>
            <w:r>
              <w:t xml:space="preserve">Le patient peut-il différencier : </w:t>
            </w:r>
          </w:p>
          <w:p w:rsidR="00A946A4" w:rsidRDefault="00A946A4" w:rsidP="00A946A4">
            <w:pPr>
              <w:pStyle w:val="Paragraphedeliste"/>
              <w:numPr>
                <w:ilvl w:val="0"/>
                <w:numId w:val="5"/>
              </w:numPr>
              <w:ind w:left="409"/>
              <w:jc w:val="both"/>
            </w:pPr>
            <w:r>
              <w:t xml:space="preserve">Deux fruits ? </w:t>
            </w:r>
          </w:p>
          <w:p w:rsidR="00A946A4" w:rsidRDefault="00A946A4" w:rsidP="00A946A4">
            <w:pPr>
              <w:pStyle w:val="Paragraphedeliste"/>
              <w:numPr>
                <w:ilvl w:val="0"/>
                <w:numId w:val="5"/>
              </w:numPr>
              <w:ind w:left="409"/>
              <w:jc w:val="both"/>
            </w:pPr>
            <w:r>
              <w:t xml:space="preserve">Deux légumes ? </w:t>
            </w:r>
          </w:p>
          <w:p w:rsidR="00A946A4" w:rsidRDefault="00A946A4" w:rsidP="00A946A4">
            <w:pPr>
              <w:pStyle w:val="Paragraphedeliste"/>
              <w:numPr>
                <w:ilvl w:val="0"/>
                <w:numId w:val="5"/>
              </w:numPr>
              <w:ind w:left="409"/>
              <w:jc w:val="both"/>
            </w:pPr>
            <w:r>
              <w:t xml:space="preserve">Deux viandes ? </w:t>
            </w:r>
          </w:p>
          <w:p w:rsidR="00A946A4" w:rsidRDefault="00A946A4" w:rsidP="00A946A4">
            <w:pPr>
              <w:pStyle w:val="Paragraphedeliste"/>
              <w:numPr>
                <w:ilvl w:val="0"/>
                <w:numId w:val="5"/>
              </w:numPr>
              <w:ind w:left="409"/>
              <w:jc w:val="both"/>
            </w:pPr>
            <w:r>
              <w:t xml:space="preserve">Une viande et un poisson ? </w:t>
            </w:r>
          </w:p>
          <w:p w:rsidR="00A946A4" w:rsidRDefault="00A946A4" w:rsidP="00A946A4">
            <w:pPr>
              <w:pStyle w:val="Paragraphedeliste"/>
              <w:numPr>
                <w:ilvl w:val="0"/>
                <w:numId w:val="5"/>
              </w:numPr>
              <w:ind w:left="409"/>
              <w:jc w:val="both"/>
            </w:pPr>
            <w:r>
              <w:t>Un café ou thé ?</w:t>
            </w:r>
          </w:p>
          <w:p w:rsidR="00A946A4" w:rsidRDefault="00A946A4" w:rsidP="00A946A4">
            <w:pPr>
              <w:ind w:left="-16"/>
              <w:jc w:val="both"/>
            </w:pPr>
            <w:r>
              <w:t xml:space="preserve">Reconnaît-il : </w:t>
            </w:r>
          </w:p>
          <w:p w:rsidR="00A946A4" w:rsidRDefault="00A946A4" w:rsidP="00253CB9">
            <w:pPr>
              <w:pStyle w:val="Paragraphedeliste"/>
              <w:numPr>
                <w:ilvl w:val="0"/>
                <w:numId w:val="5"/>
              </w:numPr>
              <w:ind w:left="409"/>
              <w:jc w:val="both"/>
            </w:pPr>
            <w:r>
              <w:t xml:space="preserve">le chocolat ? La vanille ? </w:t>
            </w:r>
          </w:p>
          <w:p w:rsidR="00A946A4" w:rsidRDefault="00A946A4" w:rsidP="00A946A4">
            <w:pPr>
              <w:pStyle w:val="Paragraphedeliste"/>
              <w:numPr>
                <w:ilvl w:val="0"/>
                <w:numId w:val="5"/>
              </w:numPr>
              <w:ind w:left="409"/>
              <w:jc w:val="both"/>
            </w:pPr>
            <w:r>
              <w:t xml:space="preserve">Le clou de girofle ? </w:t>
            </w:r>
          </w:p>
          <w:p w:rsidR="00A946A4" w:rsidRDefault="00A946A4" w:rsidP="00E27501">
            <w:pPr>
              <w:pStyle w:val="Paragraphedeliste"/>
              <w:numPr>
                <w:ilvl w:val="0"/>
                <w:numId w:val="5"/>
              </w:numPr>
              <w:ind w:left="409"/>
              <w:jc w:val="both"/>
            </w:pPr>
            <w:r>
              <w:t>Le vinaigre ? Le curry ?</w:t>
            </w:r>
          </w:p>
        </w:tc>
        <w:tc>
          <w:tcPr>
            <w:tcW w:w="2551" w:type="dxa"/>
            <w:vAlign w:val="center"/>
          </w:tcPr>
          <w:p w:rsidR="00A946A4" w:rsidRPr="003F7FB4" w:rsidRDefault="00A946A4" w:rsidP="00A946A4">
            <w:pPr>
              <w:rPr>
                <w:b/>
              </w:rPr>
            </w:pPr>
            <w:r w:rsidRPr="00F85071">
              <w:rPr>
                <w:b/>
                <w:color w:val="00B0F0"/>
              </w:rPr>
              <w:t>Fiche HAS troubles du goût et de l’odorat</w:t>
            </w:r>
          </w:p>
        </w:tc>
        <w:tc>
          <w:tcPr>
            <w:tcW w:w="2551" w:type="dxa"/>
            <w:vAlign w:val="center"/>
          </w:tcPr>
          <w:p w:rsidR="00A946A4" w:rsidRDefault="00A946A4" w:rsidP="00A946A4">
            <w:r>
              <w:sym w:font="Wingdings" w:char="F0E8"/>
            </w:r>
            <w:r>
              <w:t xml:space="preserve"> Avis spécialisé si EN&lt;5 et/ou majorité de « non » </w:t>
            </w:r>
          </w:p>
          <w:p w:rsidR="00A946A4" w:rsidRDefault="00A946A4" w:rsidP="00A946A4">
            <w:r>
              <w:t>+/-IRM du bulbe</w:t>
            </w:r>
          </w:p>
        </w:tc>
      </w:tr>
    </w:tbl>
    <w:p w:rsidR="0059601C" w:rsidRPr="006B2C7E" w:rsidRDefault="008C6EF3" w:rsidP="00250E70">
      <w:pPr>
        <w:pStyle w:val="Titre1"/>
        <w:jc w:val="both"/>
        <w:rPr>
          <w:color w:val="00B0F0"/>
        </w:rPr>
      </w:pPr>
      <w:r w:rsidRPr="006B2C7E">
        <w:rPr>
          <w:color w:val="00B0F0"/>
        </w:rPr>
        <w:t xml:space="preserve">Bilan </w:t>
      </w:r>
      <w:r w:rsidR="0059601C" w:rsidRPr="006B2C7E">
        <w:rPr>
          <w:color w:val="00B0F0"/>
        </w:rPr>
        <w:t>de première intention</w:t>
      </w:r>
    </w:p>
    <w:p w:rsidR="006102FE" w:rsidRPr="00030E73" w:rsidRDefault="006102FE" w:rsidP="00250E70">
      <w:pPr>
        <w:jc w:val="both"/>
        <w:rPr>
          <w:b/>
        </w:rPr>
      </w:pPr>
      <w:r w:rsidRPr="00030E73">
        <w:rPr>
          <w:b/>
        </w:rPr>
        <w:t>Electrocardiogramme</w:t>
      </w:r>
    </w:p>
    <w:p w:rsidR="006102FE" w:rsidRPr="00030E73" w:rsidRDefault="006102FE" w:rsidP="00250E70">
      <w:pPr>
        <w:jc w:val="both"/>
        <w:rPr>
          <w:b/>
        </w:rPr>
      </w:pPr>
      <w:r w:rsidRPr="00030E73">
        <w:rPr>
          <w:b/>
        </w:rPr>
        <w:t>Biologie</w:t>
      </w:r>
      <w:r w:rsidR="00030E73">
        <w:rPr>
          <w:b/>
        </w:rPr>
        <w:t xml:space="preserve"> standard</w:t>
      </w:r>
      <w:r w:rsidR="008D5803" w:rsidRPr="00030E73">
        <w:rPr>
          <w:b/>
        </w:rPr>
        <w:t> :</w:t>
      </w:r>
    </w:p>
    <w:p w:rsidR="008D5803" w:rsidRDefault="008D5803" w:rsidP="00250E70">
      <w:pPr>
        <w:pStyle w:val="Paragraphedeliste"/>
        <w:numPr>
          <w:ilvl w:val="0"/>
          <w:numId w:val="1"/>
        </w:numPr>
        <w:jc w:val="both"/>
      </w:pPr>
      <w:r>
        <w:t>Numération formule sanguine</w:t>
      </w:r>
      <w:r w:rsidR="00F85071">
        <w:t xml:space="preserve"> </w:t>
      </w:r>
      <w:r w:rsidR="00F85071">
        <w:sym w:font="Wingdings" w:char="F0E8"/>
      </w:r>
      <w:r w:rsidR="00F85071">
        <w:t xml:space="preserve"> Anémie, cytopénie</w:t>
      </w:r>
      <w:r w:rsidR="008C6EF3">
        <w:t xml:space="preserve">. </w:t>
      </w:r>
    </w:p>
    <w:p w:rsidR="008D5803" w:rsidRDefault="008D5803" w:rsidP="00250E70">
      <w:pPr>
        <w:pStyle w:val="Paragraphedeliste"/>
        <w:numPr>
          <w:ilvl w:val="0"/>
          <w:numId w:val="1"/>
        </w:numPr>
        <w:jc w:val="both"/>
      </w:pPr>
      <w:r>
        <w:t>Ionogramme complet avec créatinine, phosphore, magnésium</w:t>
      </w:r>
      <w:r w:rsidR="00F85071">
        <w:t xml:space="preserve"> </w:t>
      </w:r>
      <w:r w:rsidR="00F85071">
        <w:sym w:font="Wingdings" w:char="F0E8"/>
      </w:r>
      <w:r w:rsidR="00F85071">
        <w:t xml:space="preserve"> Troubles métaboliques</w:t>
      </w:r>
    </w:p>
    <w:p w:rsidR="008D5803" w:rsidRDefault="008D5803" w:rsidP="00250E70">
      <w:pPr>
        <w:pStyle w:val="Paragraphedeliste"/>
        <w:numPr>
          <w:ilvl w:val="0"/>
          <w:numId w:val="1"/>
        </w:numPr>
        <w:jc w:val="both"/>
      </w:pPr>
      <w:r>
        <w:t>ASAT, ALAT, PAL, GGT, Bilirubine totale et conjuguée</w:t>
      </w:r>
      <w:r w:rsidR="00F85071">
        <w:t xml:space="preserve"> </w:t>
      </w:r>
      <w:r w:rsidR="00F85071">
        <w:sym w:font="Wingdings" w:char="F0E8"/>
      </w:r>
      <w:r w:rsidR="00F85071">
        <w:t xml:space="preserve"> Hépatopathies</w:t>
      </w:r>
    </w:p>
    <w:p w:rsidR="0028750B" w:rsidRDefault="0028750B" w:rsidP="00250E70">
      <w:pPr>
        <w:pStyle w:val="Paragraphedeliste"/>
        <w:numPr>
          <w:ilvl w:val="0"/>
          <w:numId w:val="1"/>
        </w:numPr>
        <w:jc w:val="both"/>
      </w:pPr>
      <w:r>
        <w:t>TSH</w:t>
      </w:r>
      <w:r w:rsidR="00F85071">
        <w:t xml:space="preserve"> </w:t>
      </w:r>
      <w:r w:rsidR="00F85071">
        <w:sym w:font="Wingdings" w:char="F0E8"/>
      </w:r>
      <w:r w:rsidR="00F85071">
        <w:t xml:space="preserve"> Hypothyroïdie</w:t>
      </w:r>
    </w:p>
    <w:p w:rsidR="00F85071" w:rsidRDefault="00F85071" w:rsidP="00250E70">
      <w:pPr>
        <w:pStyle w:val="Paragraphedeliste"/>
        <w:numPr>
          <w:ilvl w:val="0"/>
          <w:numId w:val="1"/>
        </w:numPr>
        <w:jc w:val="both"/>
      </w:pPr>
      <w:r>
        <w:t xml:space="preserve">CPK </w:t>
      </w:r>
      <w:r>
        <w:sym w:font="Wingdings" w:char="F0E8"/>
      </w:r>
      <w:r>
        <w:t xml:space="preserve"> Myosites</w:t>
      </w:r>
    </w:p>
    <w:p w:rsidR="00F85071" w:rsidRDefault="00F85071" w:rsidP="00250E70">
      <w:pPr>
        <w:pStyle w:val="Paragraphedeliste"/>
        <w:numPr>
          <w:ilvl w:val="0"/>
          <w:numId w:val="1"/>
        </w:numPr>
        <w:jc w:val="both"/>
      </w:pPr>
      <w:r>
        <w:t>Sérologie SARS-Cov2</w:t>
      </w:r>
    </w:p>
    <w:p w:rsidR="00F85071" w:rsidRDefault="00F85071" w:rsidP="00250E70">
      <w:pPr>
        <w:pStyle w:val="Paragraphedeliste"/>
        <w:numPr>
          <w:ilvl w:val="0"/>
          <w:numId w:val="1"/>
        </w:numPr>
        <w:jc w:val="both"/>
      </w:pPr>
      <w:r>
        <w:t>Glycémie à jeun</w:t>
      </w:r>
    </w:p>
    <w:p w:rsidR="00F85071" w:rsidRDefault="00F85071" w:rsidP="00250E70">
      <w:pPr>
        <w:pStyle w:val="Paragraphedeliste"/>
        <w:numPr>
          <w:ilvl w:val="0"/>
          <w:numId w:val="1"/>
        </w:numPr>
        <w:jc w:val="both"/>
      </w:pPr>
      <w:r>
        <w:t>Cortisolémie à 8h si ATCD récent de corticothérapie</w:t>
      </w:r>
    </w:p>
    <w:p w:rsidR="00A946A4" w:rsidRPr="006B2C7E" w:rsidRDefault="00A946A4" w:rsidP="00A946A4">
      <w:pPr>
        <w:pStyle w:val="Titre1"/>
        <w:jc w:val="both"/>
        <w:rPr>
          <w:color w:val="00B0F0"/>
        </w:rPr>
      </w:pPr>
      <w:r w:rsidRPr="006B2C7E">
        <w:rPr>
          <w:color w:val="00B0F0"/>
        </w:rPr>
        <w:t>Qui adresser en consultation spécialisée post-CoviD ?</w:t>
      </w:r>
    </w:p>
    <w:p w:rsidR="00A946A4" w:rsidRDefault="00A946A4" w:rsidP="00A946A4">
      <w:pPr>
        <w:jc w:val="both"/>
      </w:pPr>
      <w:r>
        <w:t>Patient atteint de CoviD documenté</w:t>
      </w:r>
    </w:p>
    <w:p w:rsidR="00A946A4" w:rsidRDefault="00A946A4" w:rsidP="00A946A4">
      <w:pPr>
        <w:jc w:val="both"/>
      </w:pPr>
      <w:r w:rsidRPr="00B74094">
        <w:rPr>
          <w:b/>
        </w:rPr>
        <w:t>ET</w:t>
      </w:r>
      <w:r>
        <w:t xml:space="preserve"> Au moins 3 mois après le diagnostic de CoviD aigue. </w:t>
      </w:r>
    </w:p>
    <w:p w:rsidR="00A946A4" w:rsidRDefault="00A946A4" w:rsidP="00A946A4">
      <w:pPr>
        <w:jc w:val="both"/>
      </w:pPr>
      <w:r w:rsidRPr="00B74094">
        <w:rPr>
          <w:b/>
        </w:rPr>
        <w:t>ET</w:t>
      </w:r>
      <w:r>
        <w:t xml:space="preserve"> Présentant </w:t>
      </w:r>
      <w:r w:rsidR="00F85071" w:rsidRPr="00F85071">
        <w:rPr>
          <w:b/>
          <w:u w:val="single"/>
        </w:rPr>
        <w:t>plusieurs</w:t>
      </w:r>
      <w:r>
        <w:t xml:space="preserve"> symptômes particulièrement sévères et ou invalidants avec un impact sévère sur la vie quotidienne et ne s’améliorant pas. </w:t>
      </w:r>
    </w:p>
    <w:p w:rsidR="00A946A4" w:rsidRDefault="00A946A4" w:rsidP="00A946A4">
      <w:pPr>
        <w:jc w:val="both"/>
      </w:pPr>
      <w:r w:rsidRPr="00B74094">
        <w:rPr>
          <w:b/>
        </w:rPr>
        <w:t>ET/OU</w:t>
      </w:r>
      <w:r>
        <w:t xml:space="preserve"> présentant des symptômes particuliers nécessitant une prise en charge </w:t>
      </w:r>
      <w:r w:rsidR="00F85071">
        <w:t xml:space="preserve">très </w:t>
      </w:r>
      <w:r>
        <w:t>spécialisée.</w:t>
      </w:r>
    </w:p>
    <w:p w:rsidR="00030E73" w:rsidRDefault="00E7221D" w:rsidP="00250E70">
      <w:pPr>
        <w:jc w:val="both"/>
      </w:pPr>
      <w:r w:rsidRPr="00B74094">
        <w:rPr>
          <w:b/>
        </w:rPr>
        <w:t>OU</w:t>
      </w:r>
      <w:r>
        <w:t xml:space="preserve"> </w:t>
      </w:r>
      <w:r w:rsidR="006B2C7E">
        <w:t>étant</w:t>
      </w:r>
      <w:r>
        <w:t xml:space="preserve"> éligible à un essai clinique. </w:t>
      </w:r>
    </w:p>
    <w:p w:rsidR="007B701A" w:rsidRPr="006B2C7E" w:rsidRDefault="006B2C7E" w:rsidP="006B2C7E">
      <w:pPr>
        <w:pStyle w:val="Titre1"/>
        <w:jc w:val="both"/>
        <w:rPr>
          <w:color w:val="00B0F0"/>
        </w:rPr>
      </w:pPr>
      <w:r w:rsidRPr="006B2C7E">
        <w:rPr>
          <w:color w:val="00B0F0"/>
        </w:rPr>
        <w:t>Référence</w:t>
      </w:r>
      <w:r>
        <w:rPr>
          <w:color w:val="00B0F0"/>
        </w:rPr>
        <w:t>s</w:t>
      </w:r>
      <w:r w:rsidR="003D193E" w:rsidRPr="006B2C7E">
        <w:rPr>
          <w:color w:val="00B0F0"/>
        </w:rPr>
        <w:t> :</w:t>
      </w:r>
    </w:p>
    <w:p w:rsidR="007B701A" w:rsidRDefault="007B701A" w:rsidP="00A767A3">
      <w:pPr>
        <w:pStyle w:val="Paragraphedeliste"/>
        <w:numPr>
          <w:ilvl w:val="0"/>
          <w:numId w:val="8"/>
        </w:numPr>
        <w:jc w:val="both"/>
      </w:pPr>
      <w:r w:rsidRPr="006D029D">
        <w:t>WHO, A clinical case definition of post COVID-19 condition by a Delphi consensus, 6 October 2021; site officiel de l’Organisation mondiale de la santé consulté le 23/01/2022. https://www.who.int/publications/i/item/WHO-2019-nCoV-Post_COVID-19_condition-Clinical_case_definition-2021.1</w:t>
      </w:r>
      <w:r w:rsidR="00713115" w:rsidRPr="006D029D">
        <w:t xml:space="preserve"> </w:t>
      </w:r>
    </w:p>
    <w:p w:rsidR="006D029D" w:rsidRPr="006D029D" w:rsidRDefault="006D029D" w:rsidP="006D029D">
      <w:pPr>
        <w:pStyle w:val="Paragraphedeliste"/>
        <w:ind w:left="360"/>
        <w:jc w:val="both"/>
      </w:pPr>
    </w:p>
    <w:p w:rsidR="006B2C7E" w:rsidRPr="006D029D" w:rsidRDefault="00E7221D" w:rsidP="00E87292">
      <w:pPr>
        <w:pStyle w:val="Paragraphedeliste"/>
        <w:numPr>
          <w:ilvl w:val="0"/>
          <w:numId w:val="8"/>
        </w:numPr>
        <w:jc w:val="both"/>
        <w:rPr>
          <w:sz w:val="24"/>
          <w:u w:val="single"/>
        </w:rPr>
      </w:pPr>
      <w:r w:rsidRPr="006D029D">
        <w:t>Haute Autorité de Santé, Symptômes prolongés suite à une Covid-19 de l’adulte - Diagnostic et prise en charge</w:t>
      </w:r>
      <w:r w:rsidR="00B74094" w:rsidRPr="006D029D">
        <w:t xml:space="preserve">, Réponses Rapides dans le cadre de la CoviD, Mis en ligne le 12 févr. 2021, Mise à jour le 19/11/2021, https://www.has-sante.fr/jcms/p_3237041/fr/symptomes-prolonges-suite-a-une-covid-19-de-l-adulte-diagnostic-et-prise-en-charge </w:t>
      </w:r>
      <w:r w:rsidR="006B2C7E" w:rsidRPr="006D029D">
        <w:rPr>
          <w:sz w:val="24"/>
        </w:rPr>
        <w:br w:type="page"/>
      </w:r>
    </w:p>
    <w:p w:rsidR="00E27501" w:rsidRPr="00D50ACA" w:rsidRDefault="00E27501">
      <w:pPr>
        <w:rPr>
          <w:b/>
          <w:sz w:val="28"/>
        </w:rPr>
      </w:pPr>
    </w:p>
    <w:p w:rsidR="006B2C7E" w:rsidRPr="00E27501" w:rsidRDefault="00E27501" w:rsidP="00E2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E27501">
        <w:rPr>
          <w:b/>
          <w:sz w:val="28"/>
        </w:rPr>
        <w:t>ANNEXE : interprétation des échelles</w:t>
      </w:r>
    </w:p>
    <w:p w:rsidR="006B2C7E" w:rsidRDefault="006B2C7E" w:rsidP="006B2C7E">
      <w:pPr>
        <w:rPr>
          <w:rFonts w:cstheme="minorHAnsi"/>
        </w:rPr>
      </w:pPr>
    </w:p>
    <w:p w:rsidR="006B2C7E" w:rsidRPr="003B480E" w:rsidRDefault="00E27501" w:rsidP="006B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H</w:t>
      </w:r>
      <w:r w:rsidR="006B2C7E" w:rsidRPr="003B480E">
        <w:rPr>
          <w:b/>
        </w:rPr>
        <w:t>ypotension orthostatique</w:t>
      </w:r>
    </w:p>
    <w:p w:rsidR="006B2C7E" w:rsidRDefault="00E27501" w:rsidP="006B2C7E">
      <w:pPr>
        <w:autoSpaceDE w:val="0"/>
        <w:autoSpaceDN w:val="0"/>
        <w:adjustRightInd w:val="0"/>
        <w:spacing w:after="0" w:line="240" w:lineRule="auto"/>
      </w:pPr>
      <w:r>
        <w:t xml:space="preserve">Définition </w:t>
      </w:r>
      <w:r w:rsidR="006B2C7E">
        <w:t>HAS : C</w:t>
      </w:r>
      <w:r w:rsidR="006B2C7E" w:rsidRPr="00C55A9D">
        <w:t>hute d’au moins 20 mm Hg de la PAS et d’au moins 10 mm Hg de la PAD à 1 ou 3 minutes d’orthostatisme) sans accélération du pouls (en dehors de toute médication bradycardisante)</w:t>
      </w:r>
      <w:r w:rsidR="006B2C7E">
        <w:t>.</w:t>
      </w:r>
    </w:p>
    <w:p w:rsidR="00E27501" w:rsidRDefault="00E27501" w:rsidP="006B2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B2C7E" w:rsidRPr="00070EE7" w:rsidRDefault="006B2C7E" w:rsidP="006B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070EE7">
        <w:rPr>
          <w:b/>
        </w:rPr>
        <w:t>Questionnaire EQ-5D</w:t>
      </w:r>
      <w:r w:rsidR="00E27501">
        <w:rPr>
          <w:b/>
        </w:rPr>
        <w:t>-3L</w:t>
      </w:r>
    </w:p>
    <w:p w:rsidR="006B2C7E" w:rsidRDefault="006B2C7E" w:rsidP="006B2C7E">
      <w:pPr>
        <w:spacing w:before="240"/>
      </w:pPr>
      <w:r>
        <w:t>Pour le questionnaire : la réponse se fait sur des échelles en 3 points (1 : pas de problème ; 2 : problèmes modérés ; 3 : problèmes sévères), et donne lieu à un score ou un code résumé sous forme de 5 chiffres consécutifs, correspondant aux 5 réponses. Par exemple, un score de 11311 correspond à de sévères difficultés dans l'accomplissement des activités usuelles, alors que les 4 autres domaines ne sont pas altérés ;</w:t>
      </w:r>
    </w:p>
    <w:p w:rsidR="006B2C7E" w:rsidRDefault="006B2C7E" w:rsidP="006B2C7E">
      <w:pPr>
        <w:spacing w:before="240"/>
      </w:pPr>
      <w:r w:rsidRPr="00635870">
        <w:t xml:space="preserve">Notez la note marquée par le patient sur l’échelle de Likert. </w:t>
      </w:r>
    </w:p>
    <w:p w:rsidR="006B2C7E" w:rsidRPr="00070EE7" w:rsidRDefault="006B2C7E" w:rsidP="006B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070EE7">
        <w:rPr>
          <w:b/>
        </w:rPr>
        <w:t>Echelle HAD</w:t>
      </w:r>
    </w:p>
    <w:p w:rsidR="006B2C7E" w:rsidRDefault="006B2C7E" w:rsidP="006B2C7E">
      <w:pPr>
        <w:spacing w:after="0"/>
      </w:pPr>
      <w:r>
        <w:t xml:space="preserve">Additionnez les points des réponses : (Impaires) 1, 3, 5, 7, 9, 11, 13 : Total A = _______ </w:t>
      </w:r>
    </w:p>
    <w:p w:rsidR="006B2C7E" w:rsidRDefault="006B2C7E" w:rsidP="006B2C7E">
      <w:pPr>
        <w:spacing w:after="0"/>
      </w:pPr>
      <w:r>
        <w:t xml:space="preserve">Additionnez les points des réponses : (Paires) 2, 4, 6, 8, 10, 12, 14 : Total D = _______ </w:t>
      </w:r>
    </w:p>
    <w:p w:rsidR="006B2C7E" w:rsidRDefault="006B2C7E" w:rsidP="006B2C7E">
      <w:pPr>
        <w:spacing w:after="0"/>
      </w:pPr>
      <w:r>
        <w:t xml:space="preserve">Pour dépister des symptomatologies anxieuses et dépressives, l’interprétation suivante peut être proposée pour chacun des scores (A et D) : </w:t>
      </w:r>
    </w:p>
    <w:p w:rsidR="006B2C7E" w:rsidRDefault="006B2C7E" w:rsidP="006B2C7E">
      <w:pPr>
        <w:spacing w:after="0"/>
      </w:pPr>
      <w:r>
        <w:t xml:space="preserve">- 7 ou moins : absence de symptomatologie </w:t>
      </w:r>
    </w:p>
    <w:p w:rsidR="006B2C7E" w:rsidRDefault="006B2C7E" w:rsidP="006B2C7E">
      <w:pPr>
        <w:spacing w:after="0"/>
      </w:pPr>
      <w:r>
        <w:t xml:space="preserve">- 8 à 10 : symptomatologie douteuse </w:t>
      </w:r>
    </w:p>
    <w:p w:rsidR="006B2C7E" w:rsidRDefault="006B2C7E" w:rsidP="006B2C7E">
      <w:r>
        <w:t xml:space="preserve">– 11 et plus : symptomatologie certaine. </w:t>
      </w:r>
    </w:p>
    <w:p w:rsidR="006B2C7E" w:rsidRPr="00070EE7" w:rsidRDefault="006B2C7E" w:rsidP="006B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G</w:t>
      </w:r>
      <w:r w:rsidRPr="00070EE7">
        <w:rPr>
          <w:b/>
        </w:rPr>
        <w:t>- Score de Nijmegen</w:t>
      </w:r>
    </w:p>
    <w:p w:rsidR="006D029D" w:rsidRDefault="006B2C7E" w:rsidP="006B2C7E">
      <w:pPr>
        <w:spacing w:before="240"/>
      </w:pPr>
      <w:r>
        <w:t>Si &gt; 23 =&gt; possible S</w:t>
      </w:r>
      <w:r w:rsidR="006D029D">
        <w:t>yndrome d’hyperventilation ;</w:t>
      </w:r>
    </w:p>
    <w:p w:rsidR="006B2C7E" w:rsidRDefault="006B2C7E" w:rsidP="006B2C7E">
      <w:pPr>
        <w:spacing w:before="240"/>
      </w:pPr>
      <w:r>
        <w:t xml:space="preserve">Si &gt; 30 =&gt; probable </w:t>
      </w:r>
      <w:r w:rsidR="006D029D">
        <w:t>Syndrome d’hyperventilation </w:t>
      </w:r>
    </w:p>
    <w:p w:rsidR="006B2C7E" w:rsidRPr="00070EE7" w:rsidRDefault="006B2C7E" w:rsidP="006B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</w:rPr>
      </w:pPr>
      <w:r>
        <w:rPr>
          <w:rFonts w:eastAsia="Verdana" w:cstheme="minorHAnsi"/>
          <w:b/>
        </w:rPr>
        <w:t>I-</w:t>
      </w:r>
      <w:r w:rsidRPr="00070EE7">
        <w:rPr>
          <w:rFonts w:eastAsia="Verdana" w:cstheme="minorHAnsi"/>
          <w:b/>
        </w:rPr>
        <w:t xml:space="preserve"> </w:t>
      </w:r>
      <w:r w:rsidRPr="00070EE7">
        <w:rPr>
          <w:b/>
        </w:rPr>
        <w:t>Échelle</w:t>
      </w:r>
      <w:r w:rsidRPr="00070EE7">
        <w:rPr>
          <w:rFonts w:eastAsia="Verdana" w:cstheme="minorHAnsi"/>
          <w:b/>
        </w:rPr>
        <w:t xml:space="preserve"> de Somnolence d'Epworth</w:t>
      </w:r>
      <w:r w:rsidRPr="00070EE7">
        <w:rPr>
          <w:rFonts w:cstheme="minorHAnsi"/>
        </w:rPr>
        <w:t xml:space="preserve"> </w:t>
      </w:r>
    </w:p>
    <w:p w:rsidR="006B2C7E" w:rsidRDefault="006B2C7E" w:rsidP="006B2C7E">
      <w:pPr>
        <w:spacing w:after="0"/>
        <w:rPr>
          <w:rFonts w:cstheme="minorHAnsi"/>
        </w:rPr>
      </w:pPr>
      <w:r w:rsidRPr="00C53047">
        <w:rPr>
          <w:rFonts w:cstheme="minorHAnsi"/>
        </w:rPr>
        <w:t xml:space="preserve">Un score de 0 à 6 est normal. </w:t>
      </w:r>
    </w:p>
    <w:p w:rsidR="006B2C7E" w:rsidRDefault="006B2C7E" w:rsidP="006B2C7E">
      <w:pPr>
        <w:spacing w:after="0"/>
        <w:rPr>
          <w:rFonts w:cstheme="minorHAnsi"/>
        </w:rPr>
      </w:pPr>
      <w:r w:rsidRPr="00C53047">
        <w:rPr>
          <w:rFonts w:cstheme="minorHAnsi"/>
        </w:rPr>
        <w:t xml:space="preserve">Un score de 7 à 9 est litigieux, et peut indiquer un état pathologique. </w:t>
      </w:r>
    </w:p>
    <w:p w:rsidR="006B2C7E" w:rsidRPr="00C53047" w:rsidRDefault="006B2C7E" w:rsidP="006B2C7E">
      <w:pPr>
        <w:rPr>
          <w:rFonts w:cstheme="minorHAnsi"/>
        </w:rPr>
      </w:pPr>
      <w:r w:rsidRPr="00C53047">
        <w:rPr>
          <w:rFonts w:cstheme="minorHAnsi"/>
        </w:rPr>
        <w:t>Un score de 10 ou plus indique un déficit de sommeil pathologique.</w:t>
      </w:r>
    </w:p>
    <w:p w:rsidR="006B2C7E" w:rsidRPr="00235BDF" w:rsidRDefault="006B2C7E" w:rsidP="006B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eastAsia="Verdana" w:cstheme="minorHAnsi"/>
          <w:b/>
        </w:rPr>
      </w:pPr>
      <w:r w:rsidRPr="00235BDF">
        <w:rPr>
          <w:rFonts w:eastAsia="Verdana" w:cstheme="minorHAnsi"/>
          <w:b/>
        </w:rPr>
        <w:t xml:space="preserve">MoCA : </w:t>
      </w:r>
    </w:p>
    <w:p w:rsidR="006B2C7E" w:rsidRDefault="006B2C7E" w:rsidP="006B2C7E">
      <w:pPr>
        <w:spacing w:before="120" w:after="120"/>
      </w:pPr>
      <w:r>
        <w:t>Pathologique si &lt; 26 (&lt;25 si faible niveau socio-culturel)</w:t>
      </w:r>
    </w:p>
    <w:p w:rsidR="006B2C7E" w:rsidRDefault="006B2C7E" w:rsidP="006B2C7E">
      <w:pPr>
        <w:spacing w:before="120" w:after="120"/>
      </w:pPr>
      <w:r>
        <w:t xml:space="preserve">Voir la notice. </w:t>
      </w:r>
    </w:p>
    <w:p w:rsidR="00EC2016" w:rsidRDefault="00EC2016">
      <w:pPr>
        <w:rPr>
          <w:b/>
        </w:rPr>
      </w:pPr>
      <w:r>
        <w:rPr>
          <w:b/>
        </w:rPr>
        <w:br w:type="page"/>
      </w:r>
    </w:p>
    <w:p w:rsidR="006B2C7E" w:rsidRPr="00864321" w:rsidRDefault="006B2C7E" w:rsidP="006B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864321">
        <w:rPr>
          <w:b/>
        </w:rPr>
        <w:lastRenderedPageBreak/>
        <w:t>Echelle mMRC</w:t>
      </w:r>
    </w:p>
    <w:p w:rsidR="006B2C7E" w:rsidRDefault="006B2C7E" w:rsidP="006B2C7E">
      <w:pPr>
        <w:spacing w:before="120" w:after="120"/>
      </w:pPr>
      <w:r>
        <w:rPr>
          <w:noProof/>
          <w:lang w:eastAsia="fr-FR"/>
        </w:rPr>
        <w:drawing>
          <wp:inline distT="0" distB="0" distL="0" distR="0" wp14:anchorId="72914F27" wp14:editId="4B96842D">
            <wp:extent cx="5828665" cy="1656900"/>
            <wp:effectExtent l="0" t="0" r="63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612" cy="166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701A" w:rsidRPr="007B701A" w:rsidRDefault="007B701A" w:rsidP="006B2C7E"/>
    <w:sectPr w:rsidR="007B701A" w:rsidRPr="007B701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4F" w:rsidRDefault="00BF744F" w:rsidP="0059601C">
      <w:pPr>
        <w:spacing w:after="0" w:line="240" w:lineRule="auto"/>
      </w:pPr>
      <w:r>
        <w:separator/>
      </w:r>
    </w:p>
  </w:endnote>
  <w:endnote w:type="continuationSeparator" w:id="0">
    <w:p w:rsidR="00BF744F" w:rsidRDefault="00BF744F" w:rsidP="0059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  <w:sz w:val="18"/>
      </w:rPr>
      <w:id w:val="-2002345825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</w:rPr>
          <w:id w:val="1451829959"/>
          <w:docPartObj>
            <w:docPartGallery w:val="Page Numbers (Top of Page)"/>
            <w:docPartUnique/>
          </w:docPartObj>
        </w:sdtPr>
        <w:sdtEndPr/>
        <w:sdtContent>
          <w:p w:rsidR="006B2C7E" w:rsidRPr="005B17A2" w:rsidRDefault="006B2C7E" w:rsidP="006B2C7E">
            <w:pPr>
              <w:pStyle w:val="Pieddepage"/>
              <w:jc w:val="center"/>
              <w:rPr>
                <w:color w:val="7F7F7F" w:themeColor="text1" w:themeTint="80"/>
                <w:sz w:val="18"/>
              </w:rPr>
            </w:pPr>
            <w:r w:rsidRPr="005B17A2">
              <w:rPr>
                <w:rFonts w:cstheme="minorHAnsi"/>
                <w:color w:val="7F7F7F" w:themeColor="text1" w:themeTint="80"/>
                <w:sz w:val="18"/>
              </w:rPr>
              <w:t xml:space="preserve">● </w:t>
            </w:r>
            <w:r w:rsidRPr="005B17A2">
              <w:rPr>
                <w:color w:val="7F7F7F" w:themeColor="text1" w:themeTint="80"/>
                <w:sz w:val="18"/>
              </w:rPr>
              <w:t xml:space="preserve">Page </w:t>
            </w:r>
            <w:r w:rsidRPr="005B17A2">
              <w:rPr>
                <w:b/>
                <w:bCs/>
                <w:color w:val="7F7F7F" w:themeColor="text1" w:themeTint="80"/>
                <w:sz w:val="20"/>
                <w:szCs w:val="24"/>
              </w:rPr>
              <w:fldChar w:fldCharType="begin"/>
            </w:r>
            <w:r w:rsidRPr="005B17A2">
              <w:rPr>
                <w:b/>
                <w:bCs/>
                <w:color w:val="7F7F7F" w:themeColor="text1" w:themeTint="80"/>
                <w:sz w:val="18"/>
              </w:rPr>
              <w:instrText>PAGE</w:instrText>
            </w:r>
            <w:r w:rsidRPr="005B17A2">
              <w:rPr>
                <w:b/>
                <w:bCs/>
                <w:color w:val="7F7F7F" w:themeColor="text1" w:themeTint="80"/>
                <w:sz w:val="20"/>
                <w:szCs w:val="24"/>
              </w:rPr>
              <w:fldChar w:fldCharType="separate"/>
            </w:r>
            <w:r w:rsidR="00D50ACA">
              <w:rPr>
                <w:b/>
                <w:bCs/>
                <w:noProof/>
                <w:color w:val="7F7F7F" w:themeColor="text1" w:themeTint="80"/>
                <w:sz w:val="18"/>
              </w:rPr>
              <w:t>3</w:t>
            </w:r>
            <w:r w:rsidRPr="005B17A2">
              <w:rPr>
                <w:b/>
                <w:bCs/>
                <w:color w:val="7F7F7F" w:themeColor="text1" w:themeTint="80"/>
                <w:sz w:val="20"/>
                <w:szCs w:val="24"/>
              </w:rPr>
              <w:fldChar w:fldCharType="end"/>
            </w:r>
            <w:r w:rsidRPr="005B17A2">
              <w:rPr>
                <w:color w:val="7F7F7F" w:themeColor="text1" w:themeTint="80"/>
                <w:sz w:val="18"/>
              </w:rPr>
              <w:t xml:space="preserve"> sur </w:t>
            </w:r>
            <w:r w:rsidRPr="005B17A2">
              <w:rPr>
                <w:b/>
                <w:bCs/>
                <w:color w:val="7F7F7F" w:themeColor="text1" w:themeTint="80"/>
                <w:sz w:val="20"/>
                <w:szCs w:val="24"/>
              </w:rPr>
              <w:fldChar w:fldCharType="begin"/>
            </w:r>
            <w:r w:rsidRPr="005B17A2">
              <w:rPr>
                <w:b/>
                <w:bCs/>
                <w:color w:val="7F7F7F" w:themeColor="text1" w:themeTint="80"/>
                <w:sz w:val="18"/>
              </w:rPr>
              <w:instrText>NUMPAGES</w:instrText>
            </w:r>
            <w:r w:rsidRPr="005B17A2">
              <w:rPr>
                <w:b/>
                <w:bCs/>
                <w:color w:val="7F7F7F" w:themeColor="text1" w:themeTint="80"/>
                <w:sz w:val="20"/>
                <w:szCs w:val="24"/>
              </w:rPr>
              <w:fldChar w:fldCharType="separate"/>
            </w:r>
            <w:r w:rsidR="00D50ACA">
              <w:rPr>
                <w:b/>
                <w:bCs/>
                <w:noProof/>
                <w:color w:val="7F7F7F" w:themeColor="text1" w:themeTint="80"/>
                <w:sz w:val="18"/>
              </w:rPr>
              <w:t>5</w:t>
            </w:r>
            <w:r w:rsidRPr="005B17A2">
              <w:rPr>
                <w:b/>
                <w:bCs/>
                <w:color w:val="7F7F7F" w:themeColor="text1" w:themeTint="80"/>
                <w:sz w:val="20"/>
                <w:szCs w:val="24"/>
              </w:rPr>
              <w:fldChar w:fldCharType="end"/>
            </w:r>
            <w:r w:rsidRPr="005B17A2">
              <w:rPr>
                <w:b/>
                <w:bCs/>
                <w:color w:val="7F7F7F" w:themeColor="text1" w:themeTint="80"/>
                <w:sz w:val="20"/>
                <w:szCs w:val="24"/>
              </w:rPr>
              <w:t xml:space="preserve"> </w:t>
            </w:r>
            <w:r w:rsidRPr="005B17A2">
              <w:rPr>
                <w:rFonts w:cstheme="minorHAnsi"/>
                <w:b/>
                <w:bCs/>
                <w:color w:val="7F7F7F" w:themeColor="text1" w:themeTint="80"/>
                <w:sz w:val="20"/>
                <w:szCs w:val="24"/>
              </w:rPr>
              <w:t>●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4F" w:rsidRDefault="00BF744F" w:rsidP="0059601C">
      <w:pPr>
        <w:spacing w:after="0" w:line="240" w:lineRule="auto"/>
      </w:pPr>
      <w:r>
        <w:separator/>
      </w:r>
    </w:p>
  </w:footnote>
  <w:footnote w:type="continuationSeparator" w:id="0">
    <w:p w:rsidR="00BF744F" w:rsidRDefault="00BF744F" w:rsidP="0059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7E" w:rsidRDefault="006B2C7E" w:rsidP="006B2C7E">
    <w:pPr>
      <w:pStyle w:val="En-tte"/>
      <w:tabs>
        <w:tab w:val="left" w:pos="2475"/>
      </w:tabs>
      <w:rPr>
        <w:rFonts w:cstheme="minorHAnsi"/>
      </w:rPr>
    </w:pPr>
    <w:r>
      <w:rPr>
        <w:noProof/>
        <w:lang w:eastAsia="fr-FR"/>
      </w:rPr>
      <w:drawing>
        <wp:inline distT="0" distB="0" distL="0" distR="0" wp14:anchorId="5C8235DC" wp14:editId="0A592712">
          <wp:extent cx="480943" cy="480943"/>
          <wp:effectExtent l="0" t="0" r="0" b="0"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HCL_Couleur_Français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92" cy="50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cstheme="minorHAnsi"/>
      </w:rPr>
      <w:tab/>
    </w:r>
    <w:r>
      <w:rPr>
        <w:noProof/>
        <w:lang w:eastAsia="fr-FR"/>
      </w:rPr>
      <w:drawing>
        <wp:inline distT="0" distB="0" distL="0" distR="0" wp14:anchorId="193C9178" wp14:editId="43A55759">
          <wp:extent cx="504825" cy="504825"/>
          <wp:effectExtent l="0" t="0" r="9525" b="9525"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0" t="27282" r="23544" b="31795"/>
                  <a:stretch/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B2C7E" w:rsidRDefault="00E27501" w:rsidP="00E27501">
    <w:pPr>
      <w:pStyle w:val="En-tte"/>
      <w:tabs>
        <w:tab w:val="clear" w:pos="4536"/>
        <w:tab w:val="clear" w:pos="9072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7E" w:rsidRDefault="006B2C7E" w:rsidP="006B2C7E">
    <w:pPr>
      <w:spacing w:after="0"/>
      <w:ind w:left="6663" w:right="-567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914D85C" wp14:editId="6FBD11E4">
          <wp:simplePos x="0" y="0"/>
          <wp:positionH relativeFrom="column">
            <wp:posOffset>5282565</wp:posOffset>
          </wp:positionH>
          <wp:positionV relativeFrom="paragraph">
            <wp:posOffset>-1270</wp:posOffset>
          </wp:positionV>
          <wp:extent cx="770400" cy="770400"/>
          <wp:effectExtent l="0" t="0" r="0" b="0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43" t="30079" r="23716" b="29287"/>
                  <a:stretch/>
                </pic:blipFill>
                <pic:spPr bwMode="auto">
                  <a:xfrm>
                    <a:off x="0" y="0"/>
                    <a:ext cx="7704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45B2D" wp14:editId="7C0AB738">
              <wp:simplePos x="0" y="0"/>
              <wp:positionH relativeFrom="column">
                <wp:posOffset>404219</wp:posOffset>
              </wp:positionH>
              <wp:positionV relativeFrom="paragraph">
                <wp:posOffset>19547</wp:posOffset>
              </wp:positionV>
              <wp:extent cx="2520563" cy="771525"/>
              <wp:effectExtent l="0" t="0" r="0" b="952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563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2C7E" w:rsidRPr="00CD035C" w:rsidRDefault="006B2C7E" w:rsidP="006B2C7E">
                          <w:pPr>
                            <w:spacing w:after="0"/>
                            <w:rPr>
                              <w:rFonts w:cstheme="minorHAnsi"/>
                              <w:b/>
                              <w:color w:val="00B0F0"/>
                              <w:sz w:val="20"/>
                            </w:rPr>
                          </w:pPr>
                          <w:r w:rsidRPr="00CD035C">
                            <w:rPr>
                              <w:rFonts w:cstheme="minorHAnsi"/>
                              <w:b/>
                              <w:color w:val="00B0F0"/>
                              <w:sz w:val="20"/>
                            </w:rPr>
                            <w:t>Hôpital Lyon Sud</w:t>
                          </w:r>
                        </w:p>
                        <w:p w:rsidR="006B2C7E" w:rsidRPr="0048537F" w:rsidRDefault="006B2C7E" w:rsidP="006B2C7E">
                          <w:pPr>
                            <w:spacing w:after="0"/>
                            <w:rPr>
                              <w:rFonts w:cstheme="minorHAnsi"/>
                              <w:b/>
                              <w:color w:val="00B0F0"/>
                              <w:sz w:val="20"/>
                            </w:rPr>
                          </w:pPr>
                          <w:r w:rsidRPr="0048537F">
                            <w:rPr>
                              <w:rFonts w:cstheme="minorHAnsi"/>
                              <w:b/>
                              <w:color w:val="00B0F0"/>
                              <w:sz w:val="20"/>
                            </w:rPr>
                            <w:t>Service de Pneumologie</w:t>
                          </w:r>
                        </w:p>
                        <w:p w:rsidR="006B2C7E" w:rsidRPr="00CD035C" w:rsidRDefault="006B2C7E" w:rsidP="006B2C7E">
                          <w:pPr>
                            <w:spacing w:after="0"/>
                            <w:rPr>
                              <w:rFonts w:cstheme="minorHAnsi"/>
                              <w:color w:val="00B0F0"/>
                              <w:sz w:val="20"/>
                            </w:rPr>
                          </w:pPr>
                          <w:r w:rsidRPr="00CD035C">
                            <w:rPr>
                              <w:rFonts w:cstheme="minorHAnsi"/>
                              <w:color w:val="00B0F0"/>
                              <w:sz w:val="20"/>
                            </w:rPr>
                            <w:t xml:space="preserve">Unité d’évaluation des patients présentant des symptômes prolongés après un CovID. </w:t>
                          </w:r>
                        </w:p>
                        <w:p w:rsidR="006B2C7E" w:rsidRPr="00CD035C" w:rsidRDefault="006B2C7E" w:rsidP="006B2C7E">
                          <w:pPr>
                            <w:spacing w:after="0" w:line="240" w:lineRule="auto"/>
                            <w:ind w:left="6663"/>
                            <w:jc w:val="center"/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</w:pPr>
                          <w:r w:rsidRPr="00CD035C">
                            <w:rPr>
                              <w:rFonts w:eastAsia="Arial Unicode MS" w:cstheme="minorHAnsi"/>
                              <w:color w:val="00B0F0"/>
                              <w:sz w:val="14"/>
                              <w:szCs w:val="16"/>
                            </w:rPr>
                            <w:t xml:space="preserve">Evaluation </w:t>
                          </w:r>
                          <w:r w:rsidRPr="00CD035C"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  <w:t xml:space="preserve">des Patients présentant des </w:t>
                          </w:r>
                        </w:p>
                        <w:p w:rsidR="006B2C7E" w:rsidRPr="00CD035C" w:rsidRDefault="006B2C7E" w:rsidP="006B2C7E">
                          <w:pPr>
                            <w:spacing w:after="0" w:line="240" w:lineRule="auto"/>
                            <w:ind w:left="6663"/>
                            <w:jc w:val="center"/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</w:pPr>
                          <w:r w:rsidRPr="00CD035C"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  <w:t>Symptômes proLONgés après un covId</w:t>
                          </w:r>
                        </w:p>
                        <w:p w:rsidR="006B2C7E" w:rsidRPr="00CD035C" w:rsidRDefault="006B2C7E" w:rsidP="006B2C7E">
                          <w:pPr>
                            <w:spacing w:after="0"/>
                            <w:rPr>
                              <w:rFonts w:cstheme="minorHAnsi"/>
                              <w:sz w:val="18"/>
                            </w:rPr>
                          </w:pPr>
                        </w:p>
                        <w:p w:rsidR="006B2C7E" w:rsidRPr="00CD035C" w:rsidRDefault="006B2C7E" w:rsidP="006B2C7E">
                          <w:pPr>
                            <w:spacing w:after="0" w:line="240" w:lineRule="auto"/>
                            <w:ind w:left="6663"/>
                            <w:jc w:val="center"/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</w:pPr>
                          <w:r w:rsidRPr="00CD035C"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  <w:t xml:space="preserve">Evaluation des Patients présentant des </w:t>
                          </w:r>
                        </w:p>
                        <w:p w:rsidR="006B2C7E" w:rsidRPr="00CD035C" w:rsidRDefault="006B2C7E" w:rsidP="006B2C7E">
                          <w:pPr>
                            <w:spacing w:after="0" w:line="240" w:lineRule="auto"/>
                            <w:ind w:left="6663"/>
                            <w:jc w:val="center"/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</w:pPr>
                          <w:r w:rsidRPr="00CD035C"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  <w:t>Symptômes proLONgés après un covId</w:t>
                          </w:r>
                        </w:p>
                        <w:p w:rsidR="006B2C7E" w:rsidRPr="00CD035C" w:rsidRDefault="006B2C7E" w:rsidP="006B2C7E">
                          <w:pPr>
                            <w:spacing w:after="0"/>
                            <w:rPr>
                              <w:rFonts w:cstheme="minorHAnsi"/>
                              <w:sz w:val="18"/>
                            </w:rPr>
                          </w:pPr>
                        </w:p>
                        <w:p w:rsidR="006B2C7E" w:rsidRPr="00CD035C" w:rsidRDefault="006B2C7E" w:rsidP="006B2C7E">
                          <w:pPr>
                            <w:spacing w:after="0" w:line="240" w:lineRule="auto"/>
                            <w:ind w:left="6663"/>
                            <w:jc w:val="center"/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</w:pPr>
                          <w:r w:rsidRPr="00CD035C"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  <w:t xml:space="preserve">Evaluation des Patients présentant des </w:t>
                          </w:r>
                        </w:p>
                        <w:p w:rsidR="006B2C7E" w:rsidRPr="00CD035C" w:rsidRDefault="006B2C7E" w:rsidP="006B2C7E">
                          <w:pPr>
                            <w:spacing w:after="0" w:line="240" w:lineRule="auto"/>
                            <w:ind w:left="6663"/>
                            <w:jc w:val="center"/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</w:pPr>
                          <w:r w:rsidRPr="00CD035C"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  <w:t>Symptômes proLONgés après un covId</w:t>
                          </w:r>
                        </w:p>
                        <w:p w:rsidR="006B2C7E" w:rsidRPr="00CD035C" w:rsidRDefault="006B2C7E" w:rsidP="006B2C7E">
                          <w:pPr>
                            <w:spacing w:after="0" w:line="240" w:lineRule="auto"/>
                            <w:ind w:left="6663"/>
                            <w:jc w:val="center"/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</w:pPr>
                          <w:r w:rsidRPr="00CD035C"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  <w:t xml:space="preserve">Evaluation des Patients présentant des </w:t>
                          </w:r>
                        </w:p>
                        <w:p w:rsidR="006B2C7E" w:rsidRPr="00CD035C" w:rsidRDefault="006B2C7E" w:rsidP="006B2C7E">
                          <w:pPr>
                            <w:spacing w:after="0" w:line="240" w:lineRule="auto"/>
                            <w:ind w:left="6663"/>
                            <w:jc w:val="center"/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</w:pPr>
                          <w:r w:rsidRPr="00CD035C">
                            <w:rPr>
                              <w:rFonts w:eastAsia="Arial Unicode MS" w:cstheme="minorHAnsi"/>
                              <w:sz w:val="12"/>
                              <w:szCs w:val="16"/>
                            </w:rPr>
                            <w:t>Symptômes proLONgés après un covId</w:t>
                          </w:r>
                        </w:p>
                        <w:p w:rsidR="006B2C7E" w:rsidRPr="00CD035C" w:rsidRDefault="006B2C7E" w:rsidP="006B2C7E">
                          <w:pPr>
                            <w:spacing w:after="0"/>
                            <w:rPr>
                              <w:rFonts w:cstheme="minorHAnsi"/>
                              <w:sz w:val="18"/>
                            </w:rPr>
                          </w:pPr>
                        </w:p>
                        <w:p w:rsidR="006B2C7E" w:rsidRPr="00CD035C" w:rsidRDefault="006B2C7E" w:rsidP="006B2C7E">
                          <w:pPr>
                            <w:spacing w:after="0"/>
                            <w:rPr>
                              <w:rFonts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45B2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31.85pt;margin-top:1.55pt;width:198.4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" fillcolor="white [3201]" stroked="f" strokeweight=".5pt">
              <v:textbox>
                <w:txbxContent>
                  <w:p w:rsidR="006B2C7E" w:rsidRPr="00CD035C" w:rsidRDefault="006B2C7E" w:rsidP="006B2C7E">
                    <w:pPr>
                      <w:spacing w:after="0"/>
                      <w:rPr>
                        <w:rFonts w:cstheme="minorHAnsi"/>
                        <w:b/>
                        <w:color w:val="00B0F0"/>
                        <w:sz w:val="20"/>
                      </w:rPr>
                    </w:pPr>
                    <w:r w:rsidRPr="00CD035C">
                      <w:rPr>
                        <w:rFonts w:cstheme="minorHAnsi"/>
                        <w:b/>
                        <w:color w:val="00B0F0"/>
                        <w:sz w:val="20"/>
                      </w:rPr>
                      <w:t>Hôpital Lyon Sud</w:t>
                    </w:r>
                  </w:p>
                  <w:p w:rsidR="006B2C7E" w:rsidRPr="0048537F" w:rsidRDefault="006B2C7E" w:rsidP="006B2C7E">
                    <w:pPr>
                      <w:spacing w:after="0"/>
                      <w:rPr>
                        <w:rFonts w:cstheme="minorHAnsi"/>
                        <w:b/>
                        <w:color w:val="00B0F0"/>
                        <w:sz w:val="20"/>
                      </w:rPr>
                    </w:pPr>
                    <w:r w:rsidRPr="0048537F">
                      <w:rPr>
                        <w:rFonts w:cstheme="minorHAnsi"/>
                        <w:b/>
                        <w:color w:val="00B0F0"/>
                        <w:sz w:val="20"/>
                      </w:rPr>
                      <w:t>Service de Pneumologie</w:t>
                    </w:r>
                  </w:p>
                  <w:p w:rsidR="006B2C7E" w:rsidRPr="00CD035C" w:rsidRDefault="006B2C7E" w:rsidP="006B2C7E">
                    <w:pPr>
                      <w:spacing w:after="0"/>
                      <w:rPr>
                        <w:rFonts w:cstheme="minorHAnsi"/>
                        <w:color w:val="00B0F0"/>
                        <w:sz w:val="20"/>
                      </w:rPr>
                    </w:pPr>
                    <w:r w:rsidRPr="00CD035C">
                      <w:rPr>
                        <w:rFonts w:cstheme="minorHAnsi"/>
                        <w:color w:val="00B0F0"/>
                        <w:sz w:val="20"/>
                      </w:rPr>
                      <w:t xml:space="preserve">Unité d’évaluation des patients présentant des symptômes prolongés après un CovID. </w:t>
                    </w:r>
                  </w:p>
                  <w:p w:rsidR="006B2C7E" w:rsidRPr="00CD035C" w:rsidRDefault="006B2C7E" w:rsidP="006B2C7E">
                    <w:pPr>
                      <w:spacing w:after="0" w:line="240" w:lineRule="auto"/>
                      <w:ind w:left="6663"/>
                      <w:jc w:val="center"/>
                      <w:rPr>
                        <w:rFonts w:eastAsia="Arial Unicode MS" w:cstheme="minorHAnsi"/>
                        <w:sz w:val="12"/>
                        <w:szCs w:val="16"/>
                      </w:rPr>
                    </w:pPr>
                    <w:r w:rsidRPr="00CD035C">
                      <w:rPr>
                        <w:rFonts w:eastAsia="Arial Unicode MS" w:cstheme="minorHAnsi"/>
                        <w:color w:val="00B0F0"/>
                        <w:sz w:val="14"/>
                        <w:szCs w:val="16"/>
                      </w:rPr>
                      <w:t xml:space="preserve">Evaluation </w:t>
                    </w:r>
                    <w:r w:rsidRPr="00CD035C">
                      <w:rPr>
                        <w:rFonts w:eastAsia="Arial Unicode MS" w:cstheme="minorHAnsi"/>
                        <w:sz w:val="12"/>
                        <w:szCs w:val="16"/>
                      </w:rPr>
                      <w:t xml:space="preserve">des Patients présentant des </w:t>
                    </w:r>
                  </w:p>
                  <w:p w:rsidR="006B2C7E" w:rsidRPr="00CD035C" w:rsidRDefault="006B2C7E" w:rsidP="006B2C7E">
                    <w:pPr>
                      <w:spacing w:after="0" w:line="240" w:lineRule="auto"/>
                      <w:ind w:left="6663"/>
                      <w:jc w:val="center"/>
                      <w:rPr>
                        <w:rFonts w:eastAsia="Arial Unicode MS" w:cstheme="minorHAnsi"/>
                        <w:sz w:val="12"/>
                        <w:szCs w:val="16"/>
                      </w:rPr>
                    </w:pPr>
                    <w:r w:rsidRPr="00CD035C">
                      <w:rPr>
                        <w:rFonts w:eastAsia="Arial Unicode MS" w:cstheme="minorHAnsi"/>
                        <w:sz w:val="12"/>
                        <w:szCs w:val="16"/>
                      </w:rPr>
                      <w:t>Symptômes proLONgés après un covId</w:t>
                    </w:r>
                  </w:p>
                  <w:p w:rsidR="006B2C7E" w:rsidRPr="00CD035C" w:rsidRDefault="006B2C7E" w:rsidP="006B2C7E">
                    <w:pPr>
                      <w:spacing w:after="0"/>
                      <w:rPr>
                        <w:rFonts w:cstheme="minorHAnsi"/>
                        <w:sz w:val="18"/>
                      </w:rPr>
                    </w:pPr>
                  </w:p>
                  <w:p w:rsidR="006B2C7E" w:rsidRPr="00CD035C" w:rsidRDefault="006B2C7E" w:rsidP="006B2C7E">
                    <w:pPr>
                      <w:spacing w:after="0" w:line="240" w:lineRule="auto"/>
                      <w:ind w:left="6663"/>
                      <w:jc w:val="center"/>
                      <w:rPr>
                        <w:rFonts w:eastAsia="Arial Unicode MS" w:cstheme="minorHAnsi"/>
                        <w:sz w:val="12"/>
                        <w:szCs w:val="16"/>
                      </w:rPr>
                    </w:pPr>
                    <w:r w:rsidRPr="00CD035C">
                      <w:rPr>
                        <w:rFonts w:eastAsia="Arial Unicode MS" w:cstheme="minorHAnsi"/>
                        <w:sz w:val="12"/>
                        <w:szCs w:val="16"/>
                      </w:rPr>
                      <w:t xml:space="preserve">Evaluation des Patients présentant des </w:t>
                    </w:r>
                  </w:p>
                  <w:p w:rsidR="006B2C7E" w:rsidRPr="00CD035C" w:rsidRDefault="006B2C7E" w:rsidP="006B2C7E">
                    <w:pPr>
                      <w:spacing w:after="0" w:line="240" w:lineRule="auto"/>
                      <w:ind w:left="6663"/>
                      <w:jc w:val="center"/>
                      <w:rPr>
                        <w:rFonts w:eastAsia="Arial Unicode MS" w:cstheme="minorHAnsi"/>
                        <w:sz w:val="12"/>
                        <w:szCs w:val="16"/>
                      </w:rPr>
                    </w:pPr>
                    <w:r w:rsidRPr="00CD035C">
                      <w:rPr>
                        <w:rFonts w:eastAsia="Arial Unicode MS" w:cstheme="minorHAnsi"/>
                        <w:sz w:val="12"/>
                        <w:szCs w:val="16"/>
                      </w:rPr>
                      <w:t>Symptômes proLONgés après un covId</w:t>
                    </w:r>
                  </w:p>
                  <w:p w:rsidR="006B2C7E" w:rsidRPr="00CD035C" w:rsidRDefault="006B2C7E" w:rsidP="006B2C7E">
                    <w:pPr>
                      <w:spacing w:after="0"/>
                      <w:rPr>
                        <w:rFonts w:cstheme="minorHAnsi"/>
                        <w:sz w:val="18"/>
                      </w:rPr>
                    </w:pPr>
                  </w:p>
                  <w:p w:rsidR="006B2C7E" w:rsidRPr="00CD035C" w:rsidRDefault="006B2C7E" w:rsidP="006B2C7E">
                    <w:pPr>
                      <w:spacing w:after="0" w:line="240" w:lineRule="auto"/>
                      <w:ind w:left="6663"/>
                      <w:jc w:val="center"/>
                      <w:rPr>
                        <w:rFonts w:eastAsia="Arial Unicode MS" w:cstheme="minorHAnsi"/>
                        <w:sz w:val="12"/>
                        <w:szCs w:val="16"/>
                      </w:rPr>
                    </w:pPr>
                    <w:r w:rsidRPr="00CD035C">
                      <w:rPr>
                        <w:rFonts w:eastAsia="Arial Unicode MS" w:cstheme="minorHAnsi"/>
                        <w:sz w:val="12"/>
                        <w:szCs w:val="16"/>
                      </w:rPr>
                      <w:t xml:space="preserve">Evaluation des Patients présentant des </w:t>
                    </w:r>
                  </w:p>
                  <w:p w:rsidR="006B2C7E" w:rsidRPr="00CD035C" w:rsidRDefault="006B2C7E" w:rsidP="006B2C7E">
                    <w:pPr>
                      <w:spacing w:after="0" w:line="240" w:lineRule="auto"/>
                      <w:ind w:left="6663"/>
                      <w:jc w:val="center"/>
                      <w:rPr>
                        <w:rFonts w:eastAsia="Arial Unicode MS" w:cstheme="minorHAnsi"/>
                        <w:sz w:val="12"/>
                        <w:szCs w:val="16"/>
                      </w:rPr>
                    </w:pPr>
                    <w:r w:rsidRPr="00CD035C">
                      <w:rPr>
                        <w:rFonts w:eastAsia="Arial Unicode MS" w:cstheme="minorHAnsi"/>
                        <w:sz w:val="12"/>
                        <w:szCs w:val="16"/>
                      </w:rPr>
                      <w:t>Symptômes proLONgés après un covId</w:t>
                    </w:r>
                  </w:p>
                  <w:p w:rsidR="006B2C7E" w:rsidRPr="00CD035C" w:rsidRDefault="006B2C7E" w:rsidP="006B2C7E">
                    <w:pPr>
                      <w:spacing w:after="0" w:line="240" w:lineRule="auto"/>
                      <w:ind w:left="6663"/>
                      <w:jc w:val="center"/>
                      <w:rPr>
                        <w:rFonts w:eastAsia="Arial Unicode MS" w:cstheme="minorHAnsi"/>
                        <w:sz w:val="12"/>
                        <w:szCs w:val="16"/>
                      </w:rPr>
                    </w:pPr>
                    <w:r w:rsidRPr="00CD035C">
                      <w:rPr>
                        <w:rFonts w:eastAsia="Arial Unicode MS" w:cstheme="minorHAnsi"/>
                        <w:sz w:val="12"/>
                        <w:szCs w:val="16"/>
                      </w:rPr>
                      <w:t xml:space="preserve">Evaluation des Patients présentant des </w:t>
                    </w:r>
                  </w:p>
                  <w:p w:rsidR="006B2C7E" w:rsidRPr="00CD035C" w:rsidRDefault="006B2C7E" w:rsidP="006B2C7E">
                    <w:pPr>
                      <w:spacing w:after="0" w:line="240" w:lineRule="auto"/>
                      <w:ind w:left="6663"/>
                      <w:jc w:val="center"/>
                      <w:rPr>
                        <w:rFonts w:eastAsia="Arial Unicode MS" w:cstheme="minorHAnsi"/>
                        <w:sz w:val="12"/>
                        <w:szCs w:val="16"/>
                      </w:rPr>
                    </w:pPr>
                    <w:r w:rsidRPr="00CD035C">
                      <w:rPr>
                        <w:rFonts w:eastAsia="Arial Unicode MS" w:cstheme="minorHAnsi"/>
                        <w:sz w:val="12"/>
                        <w:szCs w:val="16"/>
                      </w:rPr>
                      <w:t>Symptômes proLONgés après un covId</w:t>
                    </w:r>
                  </w:p>
                  <w:p w:rsidR="006B2C7E" w:rsidRPr="00CD035C" w:rsidRDefault="006B2C7E" w:rsidP="006B2C7E">
                    <w:pPr>
                      <w:spacing w:after="0"/>
                      <w:rPr>
                        <w:rFonts w:cstheme="minorHAnsi"/>
                        <w:sz w:val="18"/>
                      </w:rPr>
                    </w:pPr>
                  </w:p>
                  <w:p w:rsidR="006B2C7E" w:rsidRPr="00CD035C" w:rsidRDefault="006B2C7E" w:rsidP="006B2C7E">
                    <w:pPr>
                      <w:spacing w:after="0"/>
                      <w:rPr>
                        <w:rFonts w:cstheme="minorHAnsi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223D26F" wp14:editId="734CC629">
          <wp:simplePos x="0" y="0"/>
          <wp:positionH relativeFrom="column">
            <wp:posOffset>-364821</wp:posOffset>
          </wp:positionH>
          <wp:positionV relativeFrom="paragraph">
            <wp:posOffset>20955</wp:posOffset>
          </wp:positionV>
          <wp:extent cx="771525" cy="771525"/>
          <wp:effectExtent l="0" t="0" r="9525" b="9525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CL_Couleur_Français.jf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2C7E" w:rsidRPr="00115D4D" w:rsidRDefault="006B2C7E" w:rsidP="006B2C7E">
    <w:pPr>
      <w:spacing w:after="0" w:line="240" w:lineRule="auto"/>
      <w:ind w:left="6663" w:right="-567"/>
      <w:jc w:val="center"/>
      <w:rPr>
        <w:rFonts w:ascii="Arial Unicode MS" w:eastAsia="Arial Unicode MS" w:hAnsi="Arial Unicode MS" w:cs="Arial Unicode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4965"/>
    <w:multiLevelType w:val="hybridMultilevel"/>
    <w:tmpl w:val="D99E2372"/>
    <w:lvl w:ilvl="0" w:tplc="040C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 w15:restartNumberingAfterBreak="0">
    <w:nsid w:val="08903FAC"/>
    <w:multiLevelType w:val="hybridMultilevel"/>
    <w:tmpl w:val="CB76E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92881"/>
    <w:multiLevelType w:val="hybridMultilevel"/>
    <w:tmpl w:val="3F4CA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2A64"/>
    <w:multiLevelType w:val="hybridMultilevel"/>
    <w:tmpl w:val="77AEBF2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E6949"/>
    <w:multiLevelType w:val="hybridMultilevel"/>
    <w:tmpl w:val="C0122026"/>
    <w:lvl w:ilvl="0" w:tplc="040C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1B025A77"/>
    <w:multiLevelType w:val="hybridMultilevel"/>
    <w:tmpl w:val="A2FC1A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C6283"/>
    <w:multiLevelType w:val="hybridMultilevel"/>
    <w:tmpl w:val="ED882442"/>
    <w:lvl w:ilvl="0" w:tplc="040C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7" w15:restartNumberingAfterBreak="0">
    <w:nsid w:val="343D4957"/>
    <w:multiLevelType w:val="hybridMultilevel"/>
    <w:tmpl w:val="A704D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360A0"/>
    <w:multiLevelType w:val="hybridMultilevel"/>
    <w:tmpl w:val="5E72C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53F34"/>
    <w:multiLevelType w:val="hybridMultilevel"/>
    <w:tmpl w:val="C7687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27705"/>
    <w:multiLevelType w:val="hybridMultilevel"/>
    <w:tmpl w:val="969ED1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1C"/>
    <w:rsid w:val="00025DEB"/>
    <w:rsid w:val="00030E73"/>
    <w:rsid w:val="00054B11"/>
    <w:rsid w:val="000E1E6A"/>
    <w:rsid w:val="000E6FA4"/>
    <w:rsid w:val="00110C66"/>
    <w:rsid w:val="00250E70"/>
    <w:rsid w:val="0028750B"/>
    <w:rsid w:val="003028DA"/>
    <w:rsid w:val="003D193E"/>
    <w:rsid w:val="003F15C5"/>
    <w:rsid w:val="003F7FB4"/>
    <w:rsid w:val="00575833"/>
    <w:rsid w:val="00583655"/>
    <w:rsid w:val="0059601C"/>
    <w:rsid w:val="005B2600"/>
    <w:rsid w:val="006102FE"/>
    <w:rsid w:val="00645B47"/>
    <w:rsid w:val="00684E79"/>
    <w:rsid w:val="006B2C7E"/>
    <w:rsid w:val="006C2D19"/>
    <w:rsid w:val="006D029D"/>
    <w:rsid w:val="00707174"/>
    <w:rsid w:val="00713115"/>
    <w:rsid w:val="00762D36"/>
    <w:rsid w:val="00782BE9"/>
    <w:rsid w:val="007A339B"/>
    <w:rsid w:val="007A6C5C"/>
    <w:rsid w:val="007B701A"/>
    <w:rsid w:val="008C6EF3"/>
    <w:rsid w:val="008D5803"/>
    <w:rsid w:val="00905DD3"/>
    <w:rsid w:val="00906E1E"/>
    <w:rsid w:val="009128D2"/>
    <w:rsid w:val="00984368"/>
    <w:rsid w:val="00A767A3"/>
    <w:rsid w:val="00A946A4"/>
    <w:rsid w:val="00B02547"/>
    <w:rsid w:val="00B3486F"/>
    <w:rsid w:val="00B74094"/>
    <w:rsid w:val="00BF744F"/>
    <w:rsid w:val="00CC07FD"/>
    <w:rsid w:val="00CE2247"/>
    <w:rsid w:val="00D31579"/>
    <w:rsid w:val="00D50ACA"/>
    <w:rsid w:val="00E15800"/>
    <w:rsid w:val="00E27501"/>
    <w:rsid w:val="00E7221D"/>
    <w:rsid w:val="00EC2016"/>
    <w:rsid w:val="00F229F3"/>
    <w:rsid w:val="00F761A7"/>
    <w:rsid w:val="00F8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6DA4F6-3BD0-4981-B000-52E8B5FD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01C"/>
  </w:style>
  <w:style w:type="paragraph" w:styleId="Pieddepage">
    <w:name w:val="footer"/>
    <w:basedOn w:val="Normal"/>
    <w:link w:val="PieddepageCar"/>
    <w:uiPriority w:val="99"/>
    <w:unhideWhenUsed/>
    <w:rsid w:val="0059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01C"/>
  </w:style>
  <w:style w:type="character" w:customStyle="1" w:styleId="Titre1Car">
    <w:name w:val="Titre 1 Car"/>
    <w:basedOn w:val="Policepardfaut"/>
    <w:link w:val="Titre1"/>
    <w:uiPriority w:val="9"/>
    <w:rsid w:val="00610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102FE"/>
    <w:pPr>
      <w:ind w:left="720"/>
      <w:contextualSpacing/>
    </w:pPr>
  </w:style>
  <w:style w:type="paragraph" w:customStyle="1" w:styleId="Default">
    <w:name w:val="Default"/>
    <w:rsid w:val="00684E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7B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2C7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items">
    <w:name w:val="items"/>
    <w:rsid w:val="00E27501"/>
    <w:pPr>
      <w:tabs>
        <w:tab w:val="left" w:pos="283"/>
        <w:tab w:val="left" w:pos="794"/>
        <w:tab w:val="right" w:pos="4212"/>
        <w:tab w:val="center" w:pos="5102"/>
        <w:tab w:val="center" w:pos="5953"/>
        <w:tab w:val="center" w:pos="6236"/>
        <w:tab w:val="center" w:pos="8476"/>
      </w:tabs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Generalcomment">
    <w:name w:val="General comment"/>
    <w:rsid w:val="00E27501"/>
    <w:pPr>
      <w:keepLines/>
      <w:tabs>
        <w:tab w:val="left" w:pos="283"/>
      </w:tabs>
      <w:autoSpaceDE w:val="0"/>
      <w:autoSpaceDN w:val="0"/>
      <w:adjustRightInd w:val="0"/>
      <w:spacing w:after="0" w:line="340" w:lineRule="atLeast"/>
      <w:jc w:val="both"/>
    </w:pPr>
    <w:rPr>
      <w:rFonts w:ascii="Times" w:eastAsia="Times New Roman" w:hAnsi="Times" w:cs="Times New Roman"/>
      <w:color w:val="000000"/>
      <w:sz w:val="28"/>
      <w:szCs w:val="28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2750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27501"/>
  </w:style>
  <w:style w:type="paragraph" w:styleId="Corpsdetexte3">
    <w:name w:val="Body Text 3"/>
    <w:basedOn w:val="Normal"/>
    <w:link w:val="Corpsdetexte3Car"/>
    <w:uiPriority w:val="99"/>
    <w:semiHidden/>
    <w:unhideWhenUsed/>
    <w:rsid w:val="00E2750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27501"/>
    <w:rPr>
      <w:sz w:val="16"/>
      <w:szCs w:val="16"/>
    </w:rPr>
  </w:style>
  <w:style w:type="paragraph" w:styleId="Lgende">
    <w:name w:val="caption"/>
    <w:basedOn w:val="Normal"/>
    <w:next w:val="Normal"/>
    <w:qFormat/>
    <w:rsid w:val="00E275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f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1009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BEAUFILS, Fabien</dc:creator>
  <cp:keywords/>
  <dc:description/>
  <cp:lastModifiedBy>COURAUD, Sebastien</cp:lastModifiedBy>
  <cp:revision>10</cp:revision>
  <dcterms:created xsi:type="dcterms:W3CDTF">2022-01-23T18:38:00Z</dcterms:created>
  <dcterms:modified xsi:type="dcterms:W3CDTF">2022-06-01T16:14:00Z</dcterms:modified>
</cp:coreProperties>
</file>